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F29" w14:textId="254A0B61" w:rsidR="000A002F" w:rsidRPr="00643752" w:rsidRDefault="000A002F" w:rsidP="000A002F">
      <w:pPr>
        <w:ind w:firstLine="720"/>
        <w:rPr>
          <w:b/>
          <w:bCs/>
        </w:rPr>
      </w:pPr>
      <w:r w:rsidRPr="00643752">
        <w:rPr>
          <w:b/>
          <w:bCs/>
        </w:rPr>
        <w:t xml:space="preserve">300.002.001  The Commercial </w:t>
      </w:r>
      <w:r w:rsidRPr="00D33B89">
        <w:rPr>
          <w:b/>
          <w:bCs/>
        </w:rPr>
        <w:t>/ Industrial</w:t>
      </w:r>
      <w:r w:rsidRPr="00643752">
        <w:rPr>
          <w:b/>
          <w:bCs/>
        </w:rPr>
        <w:t xml:space="preserve"> District </w:t>
      </w:r>
    </w:p>
    <w:p w14:paraId="6DCA90E8" w14:textId="77777777" w:rsidR="000A002F" w:rsidRDefault="000A002F" w:rsidP="000A002F">
      <w:pPr>
        <w:ind w:firstLine="720"/>
      </w:pPr>
    </w:p>
    <w:p w14:paraId="0F2617DC" w14:textId="77777777" w:rsidR="000A002F" w:rsidRDefault="000A002F" w:rsidP="000A002F">
      <w:pPr>
        <w:ind w:left="1440"/>
      </w:pPr>
      <w:r w:rsidRPr="002F5EFB">
        <w:t xml:space="preserve">A building may be erected, altered or used, and a lot may be used or occupied, only for the following purposes and in accordance with the following provisions: </w:t>
      </w:r>
    </w:p>
    <w:p w14:paraId="436E04E6" w14:textId="77777777" w:rsidR="000A002F" w:rsidRDefault="000A002F" w:rsidP="000A002F">
      <w:r>
        <w:tab/>
      </w:r>
    </w:p>
    <w:p w14:paraId="288A9B26" w14:textId="3C7E5B44" w:rsidR="000A002F" w:rsidRDefault="000A002F" w:rsidP="000A002F">
      <w:pPr>
        <w:ind w:left="2880" w:hanging="2160"/>
      </w:pPr>
      <w:r w:rsidRPr="002F5EFB">
        <w:t xml:space="preserve">300.002.001.001 </w:t>
      </w:r>
      <w:r>
        <w:tab/>
      </w:r>
      <w:r w:rsidRPr="002F5EFB">
        <w:t xml:space="preserve">No dwelling shall be permitted in the Commercial/Industrial District of Pine Road, and no subdivisions shall take place within this district with less than the required land area stated in 300.002.001.004, A. below. </w:t>
      </w:r>
      <w:r w:rsidR="00F478D1" w:rsidRPr="003A46CA">
        <w:t>In addition, in accordance with RSA 674:80, 11., multi-family development is not permitted in the Commercial/Industrial District of Pine Road.</w:t>
      </w:r>
    </w:p>
    <w:p w14:paraId="329A6223" w14:textId="77777777" w:rsidR="00F478D1" w:rsidRDefault="00F478D1" w:rsidP="000A002F">
      <w:pPr>
        <w:ind w:left="2880" w:hanging="2160"/>
      </w:pPr>
    </w:p>
    <w:p w14:paraId="686EC79C" w14:textId="5EABBE3C" w:rsidR="000A002F" w:rsidRDefault="000A002F" w:rsidP="000A002F">
      <w:pPr>
        <w:ind w:left="2880" w:hanging="2160"/>
      </w:pPr>
      <w:r w:rsidRPr="002F5EFB">
        <w:t>300.002.001.</w:t>
      </w:r>
      <w:r w:rsidR="0021333F" w:rsidRPr="00A6701E">
        <w:t>00</w:t>
      </w:r>
      <w:r w:rsidR="00455CFE">
        <w:t>2</w:t>
      </w:r>
      <w:r w:rsidR="0021333F" w:rsidRPr="002F5EFB">
        <w:t xml:space="preserve"> </w:t>
      </w:r>
      <w:r>
        <w:tab/>
      </w:r>
      <w:r w:rsidRPr="00004EC3">
        <w:t xml:space="preserve">The following uses shall be permitted upon site plan review approval: </w:t>
      </w:r>
    </w:p>
    <w:p w14:paraId="7CEC9E75" w14:textId="77777777" w:rsidR="000A002F" w:rsidRPr="00004EC3" w:rsidRDefault="000A002F" w:rsidP="000A002F">
      <w:pPr>
        <w:ind w:left="2880" w:hanging="2160"/>
      </w:pPr>
    </w:p>
    <w:p w14:paraId="1C87F933" w14:textId="77777777" w:rsidR="000A002F" w:rsidRPr="00004EC3" w:rsidRDefault="000A002F" w:rsidP="000A002F">
      <w:pPr>
        <w:pStyle w:val="ListParagraph"/>
        <w:numPr>
          <w:ilvl w:val="0"/>
          <w:numId w:val="1"/>
        </w:numPr>
      </w:pPr>
      <w:r w:rsidRPr="00004EC3">
        <w:t xml:space="preserve">Shops, restaurants and other retail businesses. </w:t>
      </w:r>
    </w:p>
    <w:p w14:paraId="276FD566" w14:textId="77777777" w:rsidR="000A002F" w:rsidRPr="00004EC3" w:rsidRDefault="000A002F" w:rsidP="000A002F">
      <w:pPr>
        <w:pStyle w:val="ListParagraph"/>
        <w:numPr>
          <w:ilvl w:val="0"/>
          <w:numId w:val="1"/>
        </w:numPr>
      </w:pPr>
      <w:r w:rsidRPr="00004EC3">
        <w:t xml:space="preserve">Medical and other professional offices. </w:t>
      </w:r>
    </w:p>
    <w:p w14:paraId="085A628E" w14:textId="77777777" w:rsidR="000A002F" w:rsidRPr="00004EC3" w:rsidRDefault="000A002F" w:rsidP="000A002F">
      <w:pPr>
        <w:pStyle w:val="ListParagraph"/>
        <w:numPr>
          <w:ilvl w:val="0"/>
          <w:numId w:val="1"/>
        </w:numPr>
      </w:pPr>
      <w:r w:rsidRPr="00004EC3">
        <w:t xml:space="preserve">Garages and filling stations. </w:t>
      </w:r>
    </w:p>
    <w:p w14:paraId="0E83936B" w14:textId="77777777" w:rsidR="000A002F" w:rsidRPr="00004EC3" w:rsidRDefault="000A002F" w:rsidP="000A002F">
      <w:pPr>
        <w:pStyle w:val="ListParagraph"/>
        <w:numPr>
          <w:ilvl w:val="0"/>
          <w:numId w:val="1"/>
        </w:numPr>
      </w:pPr>
      <w:r w:rsidRPr="00004EC3">
        <w:t xml:space="preserve">Places of worship. </w:t>
      </w:r>
    </w:p>
    <w:p w14:paraId="68BB1B54" w14:textId="77777777" w:rsidR="000A002F" w:rsidRPr="00004EC3" w:rsidRDefault="000A002F" w:rsidP="000A002F">
      <w:pPr>
        <w:pStyle w:val="ListParagraph"/>
        <w:numPr>
          <w:ilvl w:val="0"/>
          <w:numId w:val="1"/>
        </w:numPr>
      </w:pPr>
      <w:r w:rsidRPr="00004EC3">
        <w:t xml:space="preserve">Public educational use. </w:t>
      </w:r>
    </w:p>
    <w:p w14:paraId="6D144CD7" w14:textId="77777777" w:rsidR="000A002F" w:rsidRPr="00004EC3" w:rsidRDefault="000A002F" w:rsidP="000A002F">
      <w:pPr>
        <w:pStyle w:val="ListParagraph"/>
        <w:numPr>
          <w:ilvl w:val="0"/>
          <w:numId w:val="1"/>
        </w:numPr>
      </w:pPr>
      <w:r w:rsidRPr="00004EC3">
        <w:t xml:space="preserve">Hospitals, nursing homes. </w:t>
      </w:r>
    </w:p>
    <w:p w14:paraId="3ED4C074" w14:textId="77777777" w:rsidR="000A002F" w:rsidRPr="00004EC3" w:rsidRDefault="000A002F" w:rsidP="000A002F">
      <w:pPr>
        <w:pStyle w:val="ListParagraph"/>
        <w:numPr>
          <w:ilvl w:val="0"/>
          <w:numId w:val="1"/>
        </w:numPr>
      </w:pPr>
      <w:r w:rsidRPr="00004EC3">
        <w:t xml:space="preserve">Manufacturing and warehousing. (3/12/2002) </w:t>
      </w:r>
    </w:p>
    <w:p w14:paraId="02E7EECC" w14:textId="77777777" w:rsidR="000A002F" w:rsidRDefault="000A002F" w:rsidP="000A002F">
      <w:pPr>
        <w:pStyle w:val="ListParagraph"/>
        <w:numPr>
          <w:ilvl w:val="0"/>
          <w:numId w:val="1"/>
        </w:numPr>
      </w:pPr>
      <w:r w:rsidRPr="00004EC3">
        <w:t xml:space="preserve">Food service industry. </w:t>
      </w:r>
    </w:p>
    <w:p w14:paraId="061C92C6" w14:textId="5F78DDB3" w:rsidR="008B2630" w:rsidRPr="00082210" w:rsidRDefault="008B2630" w:rsidP="008B2630">
      <w:pPr>
        <w:pStyle w:val="ListParagraph"/>
        <w:numPr>
          <w:ilvl w:val="0"/>
          <w:numId w:val="1"/>
        </w:numPr>
      </w:pPr>
      <w:r w:rsidRPr="00082210">
        <w:t>Multi-family Residential</w:t>
      </w:r>
      <w:r w:rsidR="00A6701E" w:rsidRPr="00082210">
        <w:t>.</w:t>
      </w:r>
    </w:p>
    <w:p w14:paraId="36A2A52F" w14:textId="64E55D86" w:rsidR="00667567" w:rsidRPr="00082210" w:rsidRDefault="00667567" w:rsidP="00667567">
      <w:pPr>
        <w:pStyle w:val="ListParagraph"/>
        <w:numPr>
          <w:ilvl w:val="0"/>
          <w:numId w:val="1"/>
        </w:numPr>
      </w:pPr>
      <w:r w:rsidRPr="00082210">
        <w:t>Mixed-Use and Adaptive Reuse that includes residential</w:t>
      </w:r>
      <w:r w:rsidR="0068139E" w:rsidRPr="00082210">
        <w:t xml:space="preserve"> units.</w:t>
      </w:r>
      <w:r w:rsidRPr="00082210">
        <w:t xml:space="preserve"> </w:t>
      </w:r>
    </w:p>
    <w:p w14:paraId="16C0B49F" w14:textId="77777777" w:rsidR="000A002F" w:rsidRDefault="000A002F" w:rsidP="000A002F"/>
    <w:p w14:paraId="04045D53" w14:textId="77AFC1B0" w:rsidR="00F478D1" w:rsidRDefault="007406C3" w:rsidP="00F478D1">
      <w:pPr>
        <w:ind w:left="2880" w:hanging="2160"/>
      </w:pPr>
      <w:r>
        <w:t xml:space="preserve"> </w:t>
      </w:r>
      <w:r w:rsidR="000A002F" w:rsidRPr="00004EC3">
        <w:t>300.002.001.</w:t>
      </w:r>
      <w:r w:rsidR="0021333F" w:rsidRPr="00A6701E">
        <w:t>00</w:t>
      </w:r>
      <w:r w:rsidR="00196FEA">
        <w:t>3</w:t>
      </w:r>
      <w:r w:rsidR="0021333F" w:rsidRPr="00004EC3">
        <w:t xml:space="preserve"> </w:t>
      </w:r>
      <w:r>
        <w:t xml:space="preserve">       </w:t>
      </w:r>
      <w:r w:rsidR="000A002F" w:rsidRPr="00004EC3">
        <w:t xml:space="preserve"> </w:t>
      </w:r>
      <w:r w:rsidR="00667567" w:rsidRPr="00082210">
        <w:t>Development proposals</w:t>
      </w:r>
      <w:r w:rsidR="00667567">
        <w:t xml:space="preserve"> </w:t>
      </w:r>
      <w:r w:rsidR="000A002F" w:rsidRPr="00004EC3">
        <w:t xml:space="preserve">may be permitted by Site Plan Review, if approved, after public hearing, by the Planning Board in accordance with such conditions, restrictions, and safeguards as may be deemed necessary by the Board of the purpose of protecting the health, safety and general welfare of the community. </w:t>
      </w:r>
      <w:r w:rsidR="009C6023" w:rsidRPr="00B404D1">
        <w:t>With the exception of the Commercial/Industrial District of Pine Road, Industrial uses in the Commercial/Industrial zone shall be limited to Light Industry.</w:t>
      </w:r>
      <w:r w:rsidR="009C6023">
        <w:t xml:space="preserve"> </w:t>
      </w:r>
    </w:p>
    <w:p w14:paraId="50FB32D1" w14:textId="77777777" w:rsidR="000A002F" w:rsidRDefault="000A002F" w:rsidP="00A6701E"/>
    <w:p w14:paraId="4FD96B0B" w14:textId="06CBA5E8" w:rsidR="000A002F" w:rsidRDefault="002C4F97" w:rsidP="002153AE">
      <w:pPr>
        <w:ind w:firstLine="720"/>
      </w:pPr>
      <w:r>
        <w:t xml:space="preserve">  </w:t>
      </w:r>
      <w:r w:rsidR="002153AE">
        <w:t>300.002.001.00</w:t>
      </w:r>
      <w:r w:rsidR="00196FEA">
        <w:t>4</w:t>
      </w:r>
      <w:r w:rsidR="00000209">
        <w:tab/>
      </w:r>
      <w:r w:rsidR="00000209">
        <w:tab/>
      </w:r>
      <w:r w:rsidR="000A002F" w:rsidRPr="00753D60">
        <w:t xml:space="preserve">Land and Building Requirements </w:t>
      </w:r>
    </w:p>
    <w:p w14:paraId="62EC6D25" w14:textId="77777777" w:rsidR="000A002F" w:rsidRDefault="000A002F" w:rsidP="000A002F">
      <w:pPr>
        <w:ind w:left="2880" w:hanging="2160"/>
      </w:pPr>
    </w:p>
    <w:p w14:paraId="3BC0746E" w14:textId="04E5BFEA" w:rsidR="00D037BD" w:rsidRPr="00B5471C" w:rsidRDefault="000A002F" w:rsidP="00B5471C">
      <w:pPr>
        <w:pStyle w:val="ListParagraph"/>
        <w:numPr>
          <w:ilvl w:val="0"/>
          <w:numId w:val="2"/>
        </w:numPr>
        <w:ind w:hanging="450"/>
      </w:pPr>
      <w:r w:rsidRPr="00753D60">
        <w:t xml:space="preserve">No lot shall be less than </w:t>
      </w:r>
      <w:r w:rsidRPr="001A4233">
        <w:t>one hundred and twenty thousand (120,000</w:t>
      </w:r>
      <w:r w:rsidRPr="00753D60">
        <w:t xml:space="preserve">) square feet, in cases where the proposed septic system demands an increased lot size the minimum lot size is determined by the Soil Type Lot Size Regulations found in the Subdivision Regulation Section of this book. Every lot shall have a minimum continuous lot frontage of </w:t>
      </w:r>
      <w:r w:rsidRPr="001A4233">
        <w:t>three</w:t>
      </w:r>
      <w:r w:rsidR="007F5432">
        <w:t xml:space="preserve"> </w:t>
      </w:r>
      <w:r w:rsidRPr="00753D60">
        <w:t>hundred (</w:t>
      </w:r>
      <w:r w:rsidRPr="001A4233">
        <w:t>300</w:t>
      </w:r>
      <w:r w:rsidRPr="00753D60">
        <w:t xml:space="preserve">) feet, provided that where lots are located on the </w:t>
      </w:r>
      <w:r w:rsidRPr="00753D60">
        <w:lastRenderedPageBreak/>
        <w:t xml:space="preserve">exterior of a curving street, a shorter front dimension may be permitted, although never to be less than one hundred and fifty (150) feet, (3/12/2002) provided the average width of the lot measured across its center shall be </w:t>
      </w:r>
      <w:r w:rsidR="00A6701E" w:rsidRPr="001A4233">
        <w:t>three</w:t>
      </w:r>
      <w:r w:rsidR="00A6701E">
        <w:t xml:space="preserve"> </w:t>
      </w:r>
      <w:r w:rsidRPr="00753D60">
        <w:t>hundred (</w:t>
      </w:r>
      <w:r w:rsidR="00A6701E" w:rsidRPr="001A4233">
        <w:t>300</w:t>
      </w:r>
      <w:r w:rsidRPr="00753D60">
        <w:t>) feet. No building shall be constructed on such a lot if the building would not otherwise be permitted by the provisions of this Ordinance</w:t>
      </w:r>
      <w:r w:rsidR="0024357E" w:rsidRPr="00753D60">
        <w:t xml:space="preserve">. </w:t>
      </w:r>
    </w:p>
    <w:p w14:paraId="084D441C" w14:textId="77777777" w:rsidR="00D037BD" w:rsidRPr="00753D60" w:rsidRDefault="00D037BD" w:rsidP="00D037BD">
      <w:pPr>
        <w:pStyle w:val="ListParagraph"/>
        <w:ind w:left="3240"/>
      </w:pPr>
    </w:p>
    <w:p w14:paraId="39A20204" w14:textId="77777777" w:rsidR="000A002F" w:rsidRDefault="000A002F" w:rsidP="000A002F"/>
    <w:p w14:paraId="17341C83" w14:textId="69D8FD33" w:rsidR="000A002F" w:rsidRDefault="000A002F" w:rsidP="000A002F">
      <w:pPr>
        <w:ind w:left="720"/>
      </w:pPr>
      <w:r w:rsidRPr="00753D60">
        <w:t>300.002.001.005</w:t>
      </w:r>
      <w:r>
        <w:tab/>
      </w:r>
      <w:r w:rsidRPr="00753D60">
        <w:t xml:space="preserve">Front, Side and Rear Yards: </w:t>
      </w:r>
    </w:p>
    <w:p w14:paraId="453684E3" w14:textId="77777777" w:rsidR="000A002F" w:rsidRPr="00753D60" w:rsidRDefault="000A002F" w:rsidP="000A002F">
      <w:pPr>
        <w:ind w:left="720"/>
      </w:pPr>
    </w:p>
    <w:p w14:paraId="039F88A6" w14:textId="5A540E43" w:rsidR="000A002F" w:rsidRDefault="000A002F" w:rsidP="000A002F">
      <w:pPr>
        <w:pStyle w:val="ListParagraph"/>
        <w:numPr>
          <w:ilvl w:val="0"/>
          <w:numId w:val="3"/>
        </w:numPr>
        <w:ind w:left="2880"/>
      </w:pPr>
      <w:r w:rsidRPr="00F708F1">
        <w:t xml:space="preserve">Each building or structure shall be set back at least </w:t>
      </w:r>
      <w:r w:rsidR="00A6701E" w:rsidRPr="001A4233">
        <w:t>125</w:t>
      </w:r>
      <w:r w:rsidR="00A6701E" w:rsidRPr="00F708F1">
        <w:t xml:space="preserve"> </w:t>
      </w:r>
      <w:r w:rsidRPr="00F708F1">
        <w:t xml:space="preserve">feet from the edge of the pavement, except any such building or structure with frontage on an internal road within a subdivision </w:t>
      </w:r>
      <w:r w:rsidRPr="001A4233">
        <w:t>or industrial park</w:t>
      </w:r>
      <w:r w:rsidR="00A6701E">
        <w:t xml:space="preserve"> </w:t>
      </w:r>
      <w:r w:rsidRPr="00F708F1">
        <w:t xml:space="preserve">shall be set back at least </w:t>
      </w:r>
      <w:r w:rsidRPr="001A4233">
        <w:t>75</w:t>
      </w:r>
      <w:r w:rsidR="00667567" w:rsidRPr="00F708F1">
        <w:t xml:space="preserve"> </w:t>
      </w:r>
      <w:r w:rsidRPr="00F708F1">
        <w:t>feet from the centerline (3/11/2003) of such internal road.</w:t>
      </w:r>
      <w:r>
        <w:t xml:space="preserve"> </w:t>
      </w:r>
      <w:r w:rsidRPr="001A4233">
        <w:t>Properties located on the commercial/industrial portion of Pine Road shall maintain a 50 foot front yard setback from the edge of right-of-way. (3/12)</w:t>
      </w:r>
      <w:r w:rsidRPr="00F708F1">
        <w:t xml:space="preserve"> The </w:t>
      </w:r>
      <w:r w:rsidRPr="001A4233">
        <w:t>125</w:t>
      </w:r>
      <w:r w:rsidR="007E1932">
        <w:t xml:space="preserve"> </w:t>
      </w:r>
      <w:r w:rsidRPr="00F708F1">
        <w:t>feet setback requirement applies only to those lots within the commercial/industrial district that front upon Routes 125 and 27. (3/2017)</w:t>
      </w:r>
    </w:p>
    <w:p w14:paraId="1A4A0347" w14:textId="77777777" w:rsidR="000A002F" w:rsidRDefault="000A002F" w:rsidP="000A002F">
      <w:pPr>
        <w:ind w:left="2880"/>
      </w:pPr>
    </w:p>
    <w:p w14:paraId="246C6C66" w14:textId="77777777" w:rsidR="000A002F" w:rsidRDefault="000A002F" w:rsidP="006A1117">
      <w:pPr>
        <w:pStyle w:val="ListParagraph"/>
        <w:numPr>
          <w:ilvl w:val="0"/>
          <w:numId w:val="3"/>
        </w:numPr>
        <w:ind w:left="2880" w:hanging="270"/>
      </w:pPr>
      <w:r w:rsidRPr="00F708F1">
        <w:t xml:space="preserve">All parking areas shall be set back at least 50 feet from the edge of the pavement. </w:t>
      </w:r>
    </w:p>
    <w:p w14:paraId="6E8741F8" w14:textId="77777777" w:rsidR="000A002F" w:rsidRPr="00F708F1" w:rsidRDefault="000A002F" w:rsidP="006A1117">
      <w:pPr>
        <w:pStyle w:val="ListParagraph"/>
        <w:ind w:left="2880" w:hanging="270"/>
      </w:pPr>
    </w:p>
    <w:p w14:paraId="55FABAC8" w14:textId="77777777" w:rsidR="000A002F" w:rsidRDefault="000A002F" w:rsidP="006A1117">
      <w:pPr>
        <w:pStyle w:val="ListParagraph"/>
        <w:numPr>
          <w:ilvl w:val="0"/>
          <w:numId w:val="3"/>
        </w:numPr>
        <w:ind w:left="2880" w:hanging="270"/>
      </w:pPr>
      <w:r w:rsidRPr="00F708F1">
        <w:t xml:space="preserve">A landscaped, vegetated strip shall be maintained along the road frontage to a depth of at least fifty feet. Driveway(s) and a permitted sign may be placed within this area, but it shall not be used for any building, structures, parking, or the display or storage of goods. </w:t>
      </w:r>
    </w:p>
    <w:p w14:paraId="0EDC75E2" w14:textId="77777777" w:rsidR="000A002F" w:rsidRDefault="000A002F" w:rsidP="000A002F">
      <w:pPr>
        <w:pStyle w:val="ListParagraph"/>
      </w:pPr>
    </w:p>
    <w:p w14:paraId="3AA30FCE" w14:textId="3D4A3A4B" w:rsidR="000A002F" w:rsidRDefault="000A002F" w:rsidP="00427011">
      <w:pPr>
        <w:pStyle w:val="ListParagraph"/>
        <w:numPr>
          <w:ilvl w:val="0"/>
          <w:numId w:val="3"/>
        </w:numPr>
        <w:ind w:left="2970" w:hanging="270"/>
      </w:pPr>
      <w:r w:rsidRPr="00F708F1">
        <w:t xml:space="preserve">There shall be no outside storage of goods within the first </w:t>
      </w:r>
      <w:r w:rsidRPr="001A4233">
        <w:t>125</w:t>
      </w:r>
      <w:r w:rsidRPr="00A6701E">
        <w:rPr>
          <w:strike/>
        </w:rPr>
        <w:t xml:space="preserve"> </w:t>
      </w:r>
      <w:r w:rsidR="00667567">
        <w:t xml:space="preserve"> </w:t>
      </w:r>
      <w:r w:rsidRPr="00F708F1">
        <w:t xml:space="preserve">feet of depth as measured from the edge of the pavement unless such storage is completely shielded from view by fencing, landscaping, or natural topography. </w:t>
      </w:r>
    </w:p>
    <w:p w14:paraId="1CA22E3A" w14:textId="77777777" w:rsidR="000A002F" w:rsidRPr="00F708F1" w:rsidRDefault="000A002F" w:rsidP="00427011">
      <w:pPr>
        <w:ind w:left="2970" w:hanging="270"/>
      </w:pPr>
    </w:p>
    <w:p w14:paraId="14D41920" w14:textId="33324ED6" w:rsidR="000A002F" w:rsidRDefault="000A002F" w:rsidP="00427011">
      <w:pPr>
        <w:pStyle w:val="ListParagraph"/>
        <w:numPr>
          <w:ilvl w:val="0"/>
          <w:numId w:val="3"/>
        </w:numPr>
        <w:ind w:left="2970" w:hanging="270"/>
      </w:pPr>
      <w:r w:rsidRPr="00F708F1">
        <w:t xml:space="preserve">Extent of outside display within the </w:t>
      </w:r>
      <w:r w:rsidR="00A6701E" w:rsidRPr="001A4233">
        <w:t>125</w:t>
      </w:r>
      <w:r w:rsidR="00A6701E">
        <w:t xml:space="preserve"> </w:t>
      </w:r>
      <w:r w:rsidRPr="00F708F1">
        <w:t xml:space="preserve">foot setback shall be determined at the site review. </w:t>
      </w:r>
    </w:p>
    <w:p w14:paraId="27D4A0FD" w14:textId="77777777" w:rsidR="000A002F" w:rsidRPr="00F708F1" w:rsidRDefault="000A002F" w:rsidP="00427011">
      <w:pPr>
        <w:ind w:left="2970" w:hanging="270"/>
      </w:pPr>
    </w:p>
    <w:p w14:paraId="2330E4E0" w14:textId="77777777" w:rsidR="000A002F" w:rsidRDefault="000A002F" w:rsidP="00427011">
      <w:pPr>
        <w:pStyle w:val="ListParagraph"/>
        <w:numPr>
          <w:ilvl w:val="0"/>
          <w:numId w:val="3"/>
        </w:numPr>
        <w:ind w:left="2970" w:hanging="270"/>
      </w:pPr>
      <w:r w:rsidRPr="00F708F1">
        <w:t xml:space="preserve">No building or structure shall be located nearer than 25 feet of the property of any abutter. </w:t>
      </w:r>
    </w:p>
    <w:p w14:paraId="25C92C7C" w14:textId="77777777" w:rsidR="000A002F" w:rsidRPr="00F708F1" w:rsidRDefault="000A002F" w:rsidP="00427011">
      <w:pPr>
        <w:ind w:left="2970" w:hanging="270"/>
      </w:pPr>
    </w:p>
    <w:p w14:paraId="31BC52FC" w14:textId="4157790A" w:rsidR="000A002F" w:rsidRDefault="000A002F" w:rsidP="00427011">
      <w:pPr>
        <w:pStyle w:val="ListParagraph"/>
        <w:numPr>
          <w:ilvl w:val="0"/>
          <w:numId w:val="3"/>
        </w:numPr>
        <w:ind w:left="2970" w:hanging="270"/>
      </w:pPr>
      <w:r w:rsidRPr="00F708F1">
        <w:t xml:space="preserve">No building or structure shall be located nearer than </w:t>
      </w:r>
      <w:r w:rsidR="00A6701E" w:rsidRPr="001A4233">
        <w:t>75</w:t>
      </w:r>
      <w:r w:rsidR="00A6701E" w:rsidRPr="00F708F1">
        <w:t xml:space="preserve"> </w:t>
      </w:r>
      <w:r w:rsidRPr="00F708F1">
        <w:t xml:space="preserve">feet of a State right-of-way. </w:t>
      </w:r>
    </w:p>
    <w:p w14:paraId="20C86165" w14:textId="77777777" w:rsidR="000A002F" w:rsidRPr="00F708F1" w:rsidRDefault="000A002F" w:rsidP="00427011">
      <w:pPr>
        <w:ind w:left="2970" w:hanging="270"/>
      </w:pPr>
    </w:p>
    <w:p w14:paraId="424D1CFC" w14:textId="77777777" w:rsidR="000A002F" w:rsidRPr="00F708F1" w:rsidRDefault="000A002F" w:rsidP="00427011">
      <w:pPr>
        <w:pStyle w:val="ListParagraph"/>
        <w:numPr>
          <w:ilvl w:val="0"/>
          <w:numId w:val="3"/>
        </w:numPr>
        <w:ind w:left="2970" w:hanging="270"/>
      </w:pPr>
      <w:r w:rsidRPr="00F708F1">
        <w:t xml:space="preserve">As part of Subdivision approval, the Planning Board may approve lots not meeting minimum requirements for use as open space, buffer zone, reserve space, parks, recreation area, or similar uses, subject to such reasonable terms and conditions as the Planning Board may require. </w:t>
      </w:r>
    </w:p>
    <w:p w14:paraId="39DFE973" w14:textId="051B4AFF" w:rsidR="000A002F" w:rsidRDefault="000A002F" w:rsidP="00994BD9">
      <w:pPr>
        <w:rPr>
          <w:b/>
          <w:bCs/>
          <w:i/>
          <w:iCs/>
          <w:u w:val="single"/>
        </w:rPr>
      </w:pPr>
    </w:p>
    <w:p w14:paraId="7237A27B" w14:textId="77777777" w:rsidR="00B5471C" w:rsidRPr="00B5471C" w:rsidRDefault="00B5471C" w:rsidP="00994BD9">
      <w:pPr>
        <w:rPr>
          <w:b/>
          <w:bCs/>
          <w:i/>
          <w:iCs/>
          <w:u w:val="single"/>
        </w:rPr>
      </w:pPr>
    </w:p>
    <w:p w14:paraId="751ACB84" w14:textId="2A9323BB" w:rsidR="00B5471C" w:rsidRPr="00082210" w:rsidRDefault="00B5471C" w:rsidP="00B5471C">
      <w:pPr>
        <w:ind w:left="2880" w:hanging="2160"/>
      </w:pPr>
      <w:r w:rsidRPr="00082210">
        <w:t>300.002.001.006</w:t>
      </w:r>
      <w:r w:rsidRPr="00082210">
        <w:tab/>
      </w:r>
      <w:r w:rsidR="000A002F" w:rsidRPr="00082210">
        <w:t>Multi-family dwellings</w:t>
      </w:r>
      <w:r w:rsidR="00914263" w:rsidRPr="00082210">
        <w:t xml:space="preserve"> configured as duplexes, townhouses, or garden style apartments</w:t>
      </w:r>
      <w:r w:rsidR="000A002F" w:rsidRPr="00082210">
        <w:t xml:space="preserve">, including condominiums, shall be permitted in the </w:t>
      </w:r>
      <w:r w:rsidR="0021333F" w:rsidRPr="00082210">
        <w:rPr>
          <w:b/>
          <w:bCs/>
        </w:rPr>
        <w:t>Commercial</w:t>
      </w:r>
      <w:r w:rsidRPr="00082210">
        <w:rPr>
          <w:b/>
          <w:bCs/>
        </w:rPr>
        <w:t>/Industrial</w:t>
      </w:r>
      <w:r w:rsidR="0021333F" w:rsidRPr="00082210">
        <w:rPr>
          <w:b/>
          <w:bCs/>
        </w:rPr>
        <w:t xml:space="preserve"> District</w:t>
      </w:r>
      <w:r w:rsidRPr="00082210">
        <w:rPr>
          <w:b/>
          <w:bCs/>
        </w:rPr>
        <w:t xml:space="preserve">. </w:t>
      </w:r>
      <w:r w:rsidR="000A002F" w:rsidRPr="00082210">
        <w:t>Such developments must conform to all restrictions and regulations stated herein, as well as those mandated by the New Hampshire Department of Environmental Services. All multi-family developments shall be subject to the Town of Brentwood Site Plan Review Regulations</w:t>
      </w:r>
      <w:r w:rsidRPr="00082210">
        <w:t xml:space="preserve"> </w:t>
      </w:r>
      <w:r w:rsidR="00DD0078" w:rsidRPr="00082210">
        <w:t xml:space="preserve">and </w:t>
      </w:r>
      <w:r w:rsidR="0071753A" w:rsidRPr="00082210">
        <w:t>the following standards</w:t>
      </w:r>
      <w:r w:rsidRPr="00082210">
        <w:t>.</w:t>
      </w:r>
    </w:p>
    <w:p w14:paraId="1B3D4D23" w14:textId="77777777" w:rsidR="00B5471C" w:rsidRPr="00082210" w:rsidRDefault="00B5471C" w:rsidP="00B5471C">
      <w:pPr>
        <w:ind w:left="2880" w:hanging="2160"/>
      </w:pPr>
    </w:p>
    <w:p w14:paraId="4E320C33" w14:textId="77777777" w:rsidR="00B5471C" w:rsidRPr="00082210" w:rsidRDefault="00B5471C" w:rsidP="00B5471C">
      <w:pPr>
        <w:pStyle w:val="ListParagraph"/>
        <w:numPr>
          <w:ilvl w:val="0"/>
          <w:numId w:val="26"/>
        </w:numPr>
      </w:pPr>
      <w:r w:rsidRPr="00082210">
        <w:t xml:space="preserve">Dwelling Unit Density. The following density of development is established for multi-family units: </w:t>
      </w:r>
    </w:p>
    <w:p w14:paraId="645B10D6" w14:textId="77777777" w:rsidR="00B5471C" w:rsidRPr="00082210" w:rsidRDefault="00B5471C" w:rsidP="00B5471C">
      <w:pPr>
        <w:pStyle w:val="ListParagraph"/>
        <w:ind w:left="3150"/>
      </w:pPr>
    </w:p>
    <w:p w14:paraId="4D4BE198" w14:textId="77777777" w:rsidR="00B5471C" w:rsidRPr="00082210" w:rsidRDefault="00B5471C" w:rsidP="00B5471C">
      <w:pPr>
        <w:pStyle w:val="ListParagraph"/>
        <w:numPr>
          <w:ilvl w:val="4"/>
          <w:numId w:val="2"/>
        </w:numPr>
      </w:pPr>
      <w:r w:rsidRPr="00082210">
        <w:t xml:space="preserve">Density shall be governed by current soil type lot size regulations as adopted by the Planning Board and/or Town but in no case will density be greater than six (6) units per one (1) acre of developable land unless workforce housing units are being provided. With the addition of workforce housing the number of units may be increased to eight units (8) per one (1) acre of developable land. </w:t>
      </w:r>
    </w:p>
    <w:p w14:paraId="48974A8C" w14:textId="77777777" w:rsidR="00B5471C" w:rsidRPr="00082210" w:rsidRDefault="00B5471C" w:rsidP="00B5471C">
      <w:pPr>
        <w:pStyle w:val="ListParagraph"/>
        <w:ind w:left="3960"/>
      </w:pPr>
    </w:p>
    <w:p w14:paraId="36443576" w14:textId="0C525321" w:rsidR="00B5471C" w:rsidRPr="00082210" w:rsidRDefault="00B5471C" w:rsidP="00B5471C">
      <w:pPr>
        <w:pStyle w:val="ListParagraph"/>
        <w:numPr>
          <w:ilvl w:val="4"/>
          <w:numId w:val="2"/>
        </w:numPr>
      </w:pPr>
      <w:r w:rsidRPr="00082210">
        <w:t xml:space="preserve">Developable area is the total area less all acreage comprised of Type B hydric (poorly drained) and Type A hydric (very poorly drained) soils, alluvial soils (subject to flooding), water bodies, and slopes greater than 25%. </w:t>
      </w:r>
    </w:p>
    <w:p w14:paraId="6213B909" w14:textId="77777777" w:rsidR="00B5471C" w:rsidRPr="00082210" w:rsidRDefault="00B5471C" w:rsidP="00B5471C"/>
    <w:p w14:paraId="64C7D636" w14:textId="77777777" w:rsidR="00B5471C" w:rsidRPr="00082210" w:rsidRDefault="00B5471C" w:rsidP="00B5471C">
      <w:pPr>
        <w:pStyle w:val="ListParagraph"/>
        <w:numPr>
          <w:ilvl w:val="0"/>
          <w:numId w:val="2"/>
        </w:numPr>
      </w:pPr>
      <w:r w:rsidRPr="00082210">
        <w:t xml:space="preserve">General Design Guidelines. </w:t>
      </w:r>
    </w:p>
    <w:p w14:paraId="1EBA0B23" w14:textId="77777777" w:rsidR="00B5471C" w:rsidRDefault="00B5471C" w:rsidP="00B5471C">
      <w:pPr>
        <w:pStyle w:val="ListParagraph"/>
        <w:ind w:left="3330"/>
        <w:rPr>
          <w:u w:val="single"/>
        </w:rPr>
      </w:pPr>
    </w:p>
    <w:p w14:paraId="3CD41C67" w14:textId="77777777" w:rsidR="00B5471C" w:rsidRPr="00082210" w:rsidRDefault="002A5422" w:rsidP="00B5471C">
      <w:pPr>
        <w:pStyle w:val="ListParagraph"/>
        <w:numPr>
          <w:ilvl w:val="2"/>
          <w:numId w:val="2"/>
        </w:numPr>
        <w:ind w:left="3960"/>
      </w:pPr>
      <w:r w:rsidRPr="00082210">
        <w:rPr>
          <w:b/>
          <w:bCs/>
        </w:rPr>
        <w:t>All Multi-family Structures</w:t>
      </w:r>
      <w:r w:rsidRPr="00082210">
        <w:t xml:space="preserve"> - Incorporate “step down” massing towards existing adjacent single-family lots, limit wall lengths abutting single family residential properties, </w:t>
      </w:r>
      <w:r w:rsidR="0016609E" w:rsidRPr="00082210">
        <w:t xml:space="preserve">provide visual buffers to abutting single family residential properties, </w:t>
      </w:r>
      <w:r w:rsidRPr="00082210">
        <w:t>and consider rear massing vs front presentation when establishing a relationship with the road frontage.</w:t>
      </w:r>
    </w:p>
    <w:p w14:paraId="3034CB1F" w14:textId="77777777" w:rsidR="00B5471C" w:rsidRDefault="00B5471C" w:rsidP="00B5471C">
      <w:pPr>
        <w:pStyle w:val="ListParagraph"/>
        <w:ind w:left="3960"/>
        <w:rPr>
          <w:u w:val="single"/>
        </w:rPr>
      </w:pPr>
    </w:p>
    <w:p w14:paraId="56BED087" w14:textId="77777777" w:rsidR="00B5471C" w:rsidRPr="00082210" w:rsidRDefault="00DD0078" w:rsidP="00B5471C">
      <w:pPr>
        <w:pStyle w:val="ListParagraph"/>
        <w:numPr>
          <w:ilvl w:val="2"/>
          <w:numId w:val="2"/>
        </w:numPr>
        <w:ind w:left="3960"/>
      </w:pPr>
      <w:r w:rsidRPr="00082210">
        <w:rPr>
          <w:b/>
          <w:bCs/>
        </w:rPr>
        <w:lastRenderedPageBreak/>
        <w:t>Townhouse Structures</w:t>
      </w:r>
      <w:r w:rsidRPr="00082210">
        <w:t xml:space="preserve"> - </w:t>
      </w:r>
      <w:r w:rsidR="004768D3" w:rsidRPr="00082210">
        <w:t xml:space="preserve">maximum of </w:t>
      </w:r>
      <w:r w:rsidR="006A1117" w:rsidRPr="00082210">
        <w:t>eight (</w:t>
      </w:r>
      <w:r w:rsidR="004768D3" w:rsidRPr="00082210">
        <w:t>8</w:t>
      </w:r>
      <w:r w:rsidR="006A1117" w:rsidRPr="00082210">
        <w:t>)</w:t>
      </w:r>
      <w:r w:rsidR="004768D3" w:rsidRPr="00082210">
        <w:t xml:space="preserve"> attached units</w:t>
      </w:r>
      <w:r w:rsidRPr="00082210">
        <w:t>.</w:t>
      </w:r>
    </w:p>
    <w:p w14:paraId="7152AFAB" w14:textId="77777777" w:rsidR="00B5471C" w:rsidRPr="00082210" w:rsidRDefault="00B5471C" w:rsidP="00B5471C">
      <w:pPr>
        <w:pStyle w:val="ListParagraph"/>
      </w:pPr>
    </w:p>
    <w:p w14:paraId="513146FB" w14:textId="77777777" w:rsidR="00B5471C" w:rsidRPr="00082210" w:rsidRDefault="00DD0078" w:rsidP="00B5471C">
      <w:pPr>
        <w:pStyle w:val="ListParagraph"/>
        <w:numPr>
          <w:ilvl w:val="1"/>
          <w:numId w:val="22"/>
        </w:numPr>
        <w:ind w:left="4320"/>
      </w:pPr>
      <w:r w:rsidRPr="00082210">
        <w:t>Attached townhouses shall read as a unified building mass, maintaining a common architectural language across the entire length of units. This mass shall be varied by changes in unit orientation, color/material variations, shifts in roof profile, entrance vestibules, canopies or porches, and variation at corner units. Windows, bays, balconies, and other articulation can be used to express the individuality of each unit.</w:t>
      </w:r>
    </w:p>
    <w:p w14:paraId="5F59CBC8" w14:textId="77777777" w:rsidR="00B5471C" w:rsidRPr="00082210" w:rsidRDefault="00B5471C" w:rsidP="00B5471C">
      <w:pPr>
        <w:pStyle w:val="ListParagraph"/>
        <w:ind w:left="4320"/>
      </w:pPr>
    </w:p>
    <w:p w14:paraId="291BABC0" w14:textId="77777777" w:rsidR="00B5471C" w:rsidRPr="00082210" w:rsidRDefault="00DD0078" w:rsidP="00B5471C">
      <w:pPr>
        <w:pStyle w:val="ListParagraph"/>
        <w:numPr>
          <w:ilvl w:val="1"/>
          <w:numId w:val="22"/>
        </w:numPr>
        <w:ind w:left="4320"/>
      </w:pPr>
      <w:r w:rsidRPr="00082210">
        <w:t>Vary the roofline along the building length to reflect individual units. This can be achieved using separate roof forms; a combination of roof types</w:t>
      </w:r>
      <w:r w:rsidR="004768D3" w:rsidRPr="00082210">
        <w:t xml:space="preserve"> (</w:t>
      </w:r>
      <w:r w:rsidRPr="00082210">
        <w:t>such as shed, gabled and hipped roofs); and gables/dormers.</w:t>
      </w:r>
    </w:p>
    <w:p w14:paraId="25989C80" w14:textId="77777777" w:rsidR="00B5471C" w:rsidRPr="00082210" w:rsidRDefault="00B5471C" w:rsidP="00B5471C">
      <w:pPr>
        <w:pStyle w:val="ListParagraph"/>
      </w:pPr>
    </w:p>
    <w:p w14:paraId="0A7F79AE" w14:textId="417E65FE" w:rsidR="006A1117" w:rsidRPr="00082210" w:rsidRDefault="00DD0078" w:rsidP="00B5471C">
      <w:pPr>
        <w:pStyle w:val="ListParagraph"/>
        <w:numPr>
          <w:ilvl w:val="1"/>
          <w:numId w:val="22"/>
        </w:numPr>
        <w:ind w:left="4320"/>
      </w:pPr>
      <w:r w:rsidRPr="00082210">
        <w:t>Use building and roof modulation and articulation to reduce the appearance of large building masses.</w:t>
      </w:r>
    </w:p>
    <w:p w14:paraId="576BB7B7" w14:textId="77777777" w:rsidR="006A1117" w:rsidRPr="00082210" w:rsidRDefault="006A1117" w:rsidP="006A1117">
      <w:pPr>
        <w:pStyle w:val="ListParagraph"/>
      </w:pPr>
    </w:p>
    <w:p w14:paraId="62FBFC23" w14:textId="77777777" w:rsidR="006A1117" w:rsidRPr="00082210" w:rsidRDefault="00DD0078" w:rsidP="0041359A">
      <w:pPr>
        <w:pStyle w:val="ListParagraph"/>
        <w:numPr>
          <w:ilvl w:val="2"/>
          <w:numId w:val="22"/>
        </w:numPr>
        <w:ind w:left="4590"/>
      </w:pPr>
      <w:r w:rsidRPr="00082210">
        <w:t>Modulate the building facade with features such as porches, balconies, building wall relief, and bay windows.</w:t>
      </w:r>
    </w:p>
    <w:p w14:paraId="3CF24360" w14:textId="77777777" w:rsidR="006A1117" w:rsidRPr="00082210" w:rsidRDefault="00DD0078" w:rsidP="0041359A">
      <w:pPr>
        <w:pStyle w:val="ListParagraph"/>
        <w:numPr>
          <w:ilvl w:val="2"/>
          <w:numId w:val="22"/>
        </w:numPr>
        <w:ind w:left="4590"/>
      </w:pPr>
      <w:r w:rsidRPr="00082210">
        <w:t>Provide roof elements such as gables, eyebrow roof forms or dormers.</w:t>
      </w:r>
    </w:p>
    <w:p w14:paraId="1598D259" w14:textId="77777777" w:rsidR="006A1117" w:rsidRPr="00082210" w:rsidRDefault="00DD0078" w:rsidP="0041359A">
      <w:pPr>
        <w:pStyle w:val="ListParagraph"/>
        <w:numPr>
          <w:ilvl w:val="2"/>
          <w:numId w:val="22"/>
        </w:numPr>
        <w:ind w:left="4590"/>
      </w:pPr>
      <w:r w:rsidRPr="00082210">
        <w:t>Incorporate cornice, soffit, or fascia details that emphasize the top of the building.</w:t>
      </w:r>
    </w:p>
    <w:p w14:paraId="7C497765" w14:textId="77777777" w:rsidR="006A1117" w:rsidRPr="00082210" w:rsidRDefault="00DD0078" w:rsidP="0041359A">
      <w:pPr>
        <w:pStyle w:val="ListParagraph"/>
        <w:numPr>
          <w:ilvl w:val="2"/>
          <w:numId w:val="22"/>
        </w:numPr>
        <w:ind w:left="4590"/>
      </w:pPr>
      <w:r w:rsidRPr="00082210">
        <w:t>Provide roof overhangs.</w:t>
      </w:r>
    </w:p>
    <w:p w14:paraId="563166A3" w14:textId="6BB43B07" w:rsidR="004768D3" w:rsidRPr="00082210" w:rsidRDefault="00DD0078" w:rsidP="0041359A">
      <w:pPr>
        <w:pStyle w:val="ListParagraph"/>
        <w:numPr>
          <w:ilvl w:val="2"/>
          <w:numId w:val="22"/>
        </w:numPr>
        <w:ind w:left="4590"/>
      </w:pPr>
      <w:r w:rsidRPr="00082210">
        <w:t>Articulate the roof with rafter tails and brackets.</w:t>
      </w:r>
    </w:p>
    <w:p w14:paraId="7B02D5FB" w14:textId="77777777" w:rsidR="006A1117" w:rsidRPr="00082210" w:rsidRDefault="006A1117" w:rsidP="006A1117"/>
    <w:p w14:paraId="540CBF4B" w14:textId="77777777" w:rsidR="006A1117" w:rsidRPr="00082210" w:rsidRDefault="00DD0078" w:rsidP="0041359A">
      <w:pPr>
        <w:pStyle w:val="ListParagraph"/>
        <w:numPr>
          <w:ilvl w:val="1"/>
          <w:numId w:val="22"/>
        </w:numPr>
        <w:ind w:left="4320"/>
      </w:pPr>
      <w:r w:rsidRPr="00082210">
        <w:t>Differentiation of individual units through building and roof modulation to reduce the appearance of large building masses.</w:t>
      </w:r>
    </w:p>
    <w:p w14:paraId="60A78D7F" w14:textId="77777777" w:rsidR="006A1117" w:rsidRPr="00082210" w:rsidRDefault="006A1117" w:rsidP="0041359A">
      <w:pPr>
        <w:pStyle w:val="ListParagraph"/>
        <w:ind w:left="4320"/>
      </w:pPr>
    </w:p>
    <w:p w14:paraId="28DB6359" w14:textId="6AA971DC" w:rsidR="00DD0078" w:rsidRPr="00082210" w:rsidRDefault="00DD0078" w:rsidP="0041359A">
      <w:pPr>
        <w:pStyle w:val="ListParagraph"/>
        <w:numPr>
          <w:ilvl w:val="1"/>
          <w:numId w:val="22"/>
        </w:numPr>
        <w:ind w:left="4320"/>
      </w:pPr>
      <w:r w:rsidRPr="00082210">
        <w:t>Design garages so that they do not dominate the dwelling's façade; garages should be either set back or forward from the unit’s principal façade.</w:t>
      </w:r>
    </w:p>
    <w:p w14:paraId="517A98AC" w14:textId="77777777" w:rsidR="00DD0078" w:rsidRPr="00082210" w:rsidRDefault="00DD0078" w:rsidP="0021333F">
      <w:pPr>
        <w:ind w:left="2700" w:hanging="2610"/>
      </w:pPr>
    </w:p>
    <w:p w14:paraId="7E60C472" w14:textId="56C6D8B4" w:rsidR="004768D3" w:rsidRPr="00082210" w:rsidRDefault="004768D3" w:rsidP="0041359A">
      <w:pPr>
        <w:pStyle w:val="ListParagraph"/>
        <w:numPr>
          <w:ilvl w:val="2"/>
          <w:numId w:val="2"/>
        </w:numPr>
        <w:ind w:left="3960"/>
        <w:rPr>
          <w:b/>
          <w:bCs/>
        </w:rPr>
      </w:pPr>
      <w:r w:rsidRPr="00082210">
        <w:rPr>
          <w:b/>
          <w:bCs/>
        </w:rPr>
        <w:t>Garden style apartments</w:t>
      </w:r>
      <w:r w:rsidRPr="00082210">
        <w:t xml:space="preserve"> - maximum of 24 units, </w:t>
      </w:r>
      <w:r w:rsidR="00334645" w:rsidRPr="00082210">
        <w:t xml:space="preserve">in a </w:t>
      </w:r>
      <w:r w:rsidR="00721959" w:rsidRPr="00082210">
        <w:t>two-story</w:t>
      </w:r>
      <w:r w:rsidR="00334645" w:rsidRPr="00082210">
        <w:t xml:space="preserve"> structure.</w:t>
      </w:r>
      <w:r w:rsidR="006A1117" w:rsidRPr="00082210">
        <w:t xml:space="preserve"> </w:t>
      </w:r>
      <w:r w:rsidRPr="00082210">
        <w:t xml:space="preserve">Break up building massing with a combination of varying exterior features such as: siding </w:t>
      </w:r>
      <w:r w:rsidRPr="00082210">
        <w:lastRenderedPageBreak/>
        <w:t>materials, color, window sizes, shudders, varying roof lines, dormers, along with porches and decks.</w:t>
      </w:r>
    </w:p>
    <w:p w14:paraId="3839E31C" w14:textId="77777777" w:rsidR="0041359A" w:rsidRPr="00082210" w:rsidRDefault="0041359A" w:rsidP="0041359A"/>
    <w:p w14:paraId="1550E46A" w14:textId="67FE31B8" w:rsidR="0041359A" w:rsidRPr="00082210" w:rsidRDefault="0041359A" w:rsidP="0041359A">
      <w:pPr>
        <w:pStyle w:val="ListParagraph"/>
        <w:numPr>
          <w:ilvl w:val="0"/>
          <w:numId w:val="2"/>
        </w:numPr>
      </w:pPr>
      <w:r w:rsidRPr="00082210">
        <w:t>External setbacks. The following are requirements applicable to the external boundaries of the development:</w:t>
      </w:r>
    </w:p>
    <w:p w14:paraId="5859C9F9" w14:textId="77777777" w:rsidR="0041359A" w:rsidRPr="00082210" w:rsidRDefault="0041359A" w:rsidP="0041359A">
      <w:pPr>
        <w:pStyle w:val="ListParagraph"/>
        <w:ind w:left="3330"/>
      </w:pPr>
    </w:p>
    <w:p w14:paraId="4422C888" w14:textId="62C7E64B" w:rsidR="0041359A" w:rsidRPr="00082210" w:rsidRDefault="0041359A" w:rsidP="0041359A">
      <w:pPr>
        <w:pStyle w:val="ListParagraph"/>
        <w:numPr>
          <w:ilvl w:val="1"/>
          <w:numId w:val="2"/>
        </w:numPr>
        <w:ind w:left="3960"/>
      </w:pPr>
      <w:r w:rsidRPr="00082210">
        <w:t xml:space="preserve">There shall be reserved a minimum frontage to serve as access to the multi-family development. This shall be no less than one hundred (100) feet and must be located on a road with a Class V designation or better. </w:t>
      </w:r>
    </w:p>
    <w:p w14:paraId="55F91D38" w14:textId="77777777" w:rsidR="0041359A" w:rsidRPr="00082210" w:rsidRDefault="0041359A" w:rsidP="0041359A">
      <w:pPr>
        <w:pStyle w:val="ListParagraph"/>
        <w:ind w:left="3960"/>
      </w:pPr>
    </w:p>
    <w:p w14:paraId="32611A60" w14:textId="34CD8B81" w:rsidR="0041359A" w:rsidRPr="00082210" w:rsidRDefault="0041359A" w:rsidP="0041359A">
      <w:pPr>
        <w:pStyle w:val="ListParagraph"/>
        <w:numPr>
          <w:ilvl w:val="1"/>
          <w:numId w:val="2"/>
        </w:numPr>
        <w:ind w:left="3960"/>
      </w:pPr>
      <w:r w:rsidRPr="00082210">
        <w:t xml:space="preserve">A perimeter buffer zone having a minimum depth of one hundred (100) feet shall be provided between any structure, septic system or service maintenance road, and the perimeter lot line of the tract. Said buffer zone shall be comprised of vegetation, either natural or planted. </w:t>
      </w:r>
    </w:p>
    <w:p w14:paraId="57BF9069" w14:textId="77777777" w:rsidR="0041359A" w:rsidRPr="00082210" w:rsidRDefault="0041359A" w:rsidP="0041359A">
      <w:pPr>
        <w:pStyle w:val="ListParagraph"/>
      </w:pPr>
    </w:p>
    <w:p w14:paraId="19B1DEDD" w14:textId="5C1E8FED" w:rsidR="0041359A" w:rsidRPr="00082210" w:rsidRDefault="0041359A" w:rsidP="0041359A">
      <w:pPr>
        <w:pStyle w:val="ListParagraph"/>
        <w:numPr>
          <w:ilvl w:val="1"/>
          <w:numId w:val="2"/>
        </w:numPr>
        <w:ind w:left="3960"/>
      </w:pPr>
      <w:r w:rsidRPr="00082210">
        <w:t xml:space="preserve">No construction shall be permitted within the buffer zone, other than the primary access road which shall be allowed to cross the buffer zone at the point of access to the pre-existing Class V or better road serving as the entrance to the development. Along both sides of this primary access road reserve strips of twenty-five (25) feet must be maintained for the first one hundred (100) feet of said primary access road. </w:t>
      </w:r>
    </w:p>
    <w:p w14:paraId="516B0D7A" w14:textId="77777777" w:rsidR="0041359A" w:rsidRPr="00B404D1" w:rsidRDefault="0041359A" w:rsidP="0041359A">
      <w:pPr>
        <w:pStyle w:val="ListParagraph"/>
        <w:rPr>
          <w:u w:val="single"/>
        </w:rPr>
      </w:pPr>
    </w:p>
    <w:p w14:paraId="46FC202C" w14:textId="00F4710D" w:rsidR="0041359A" w:rsidRPr="00082210" w:rsidRDefault="0041359A" w:rsidP="0041359A">
      <w:pPr>
        <w:pStyle w:val="ListParagraph"/>
        <w:numPr>
          <w:ilvl w:val="0"/>
          <w:numId w:val="2"/>
        </w:numPr>
      </w:pPr>
      <w:r w:rsidRPr="00082210">
        <w:t>Internal setbacks and development standards. The following are requirements applicable to the internal development of a multi-family parcel</w:t>
      </w:r>
      <w:r w:rsidR="0071753A" w:rsidRPr="00082210">
        <w:t>:</w:t>
      </w:r>
    </w:p>
    <w:p w14:paraId="39FE37C4" w14:textId="0B114771" w:rsidR="0071753A" w:rsidRPr="00082210" w:rsidRDefault="0071753A" w:rsidP="0071753A">
      <w:pPr>
        <w:pStyle w:val="ListParagraph"/>
        <w:numPr>
          <w:ilvl w:val="4"/>
          <w:numId w:val="2"/>
        </w:numPr>
      </w:pPr>
      <w:r w:rsidRPr="00082210">
        <w:t>Building setbacks – Forty (40) feet front setback from edge of road constructed to Town standards, thirty (3</w:t>
      </w:r>
      <w:r w:rsidR="00082210">
        <w:t>0</w:t>
      </w:r>
      <w:r w:rsidRPr="00082210">
        <w:t>) feet from other structures.</w:t>
      </w:r>
    </w:p>
    <w:p w14:paraId="08357400" w14:textId="1B22A03D" w:rsidR="0071753A" w:rsidRPr="00082210" w:rsidRDefault="0071753A" w:rsidP="0071753A">
      <w:pPr>
        <w:pStyle w:val="ListParagraph"/>
        <w:numPr>
          <w:ilvl w:val="4"/>
          <w:numId w:val="2"/>
        </w:numPr>
      </w:pPr>
      <w:r w:rsidRPr="00082210">
        <w:t>All roads (except service maintenance roads) within a multi-family development complex shall conform to the roadway construction specifications for the Town of Brentwood. Once completed to the required town standards the roads accessing these developments shall be offered to the Town as town roads. It shall be the sole decision of the Town to accept any roads.</w:t>
      </w:r>
    </w:p>
    <w:p w14:paraId="6A1748B4" w14:textId="2D49964C" w:rsidR="0071753A" w:rsidRPr="00EF1A16" w:rsidRDefault="0071753A" w:rsidP="0071753A">
      <w:pPr>
        <w:pStyle w:val="ListParagraph"/>
        <w:numPr>
          <w:ilvl w:val="4"/>
          <w:numId w:val="2"/>
        </w:numPr>
      </w:pPr>
      <w:r w:rsidRPr="00082210">
        <w:t>Maximum building coverage – No building or group of buildings or other construction activity that results in impervious surfaces in a multi-family development shall</w:t>
      </w:r>
      <w:r w:rsidRPr="00B404D1">
        <w:rPr>
          <w:u w:val="single"/>
        </w:rPr>
        <w:t xml:space="preserve"> </w:t>
      </w:r>
      <w:r w:rsidRPr="00EF1A16">
        <w:lastRenderedPageBreak/>
        <w:t>cover more than</w:t>
      </w:r>
      <w:r w:rsidR="00680F14" w:rsidRPr="00EF1A16">
        <w:t xml:space="preserve"> forty (40)</w:t>
      </w:r>
      <w:r w:rsidRPr="00EF1A16">
        <w:t xml:space="preserve"> percent of the developable land. </w:t>
      </w:r>
    </w:p>
    <w:p w14:paraId="15494E11" w14:textId="597AC60E" w:rsidR="00680F14" w:rsidRPr="00EF1A16" w:rsidRDefault="00680F14" w:rsidP="0071753A">
      <w:pPr>
        <w:pStyle w:val="ListParagraph"/>
        <w:numPr>
          <w:ilvl w:val="4"/>
          <w:numId w:val="2"/>
        </w:numPr>
      </w:pPr>
      <w:r w:rsidRPr="00EF1A16">
        <w:t>All multi-family developments shall incorporate at least fifty (50) percent of the first floor as retail space of any kind permitted within the district.  In developments with more than one building, this requirement can be allocated among the buildings in any manner chosen by the developer. By way of example, if two multifamily buildings are proposed, the first floor of one of the buildings may be entirely retail in nature and the first floor of the second building could be entirely multi-family.</w:t>
      </w:r>
    </w:p>
    <w:p w14:paraId="1200808A" w14:textId="77777777" w:rsidR="00E52390" w:rsidRDefault="00E52390" w:rsidP="004D1D7F"/>
    <w:p w14:paraId="7FAB42CC" w14:textId="6D5C365F" w:rsidR="00B87888" w:rsidRDefault="00B87888" w:rsidP="00FB4028">
      <w:pPr>
        <w:ind w:left="2340" w:hanging="2340"/>
      </w:pPr>
      <w:r>
        <w:t>300.002.001.0</w:t>
      </w:r>
      <w:r w:rsidR="002C716A">
        <w:t>07</w:t>
      </w:r>
      <w:r>
        <w:tab/>
        <w:t>The following restrictions shall govern communication, radio and television towers and accessory facilities in the commercial</w:t>
      </w:r>
      <w:r w:rsidRPr="0041359A">
        <w:rPr>
          <w:strike/>
        </w:rPr>
        <w:t>s</w:t>
      </w:r>
      <w:r>
        <w:t xml:space="preserve"> district.</w:t>
      </w:r>
    </w:p>
    <w:p w14:paraId="3BCB0B2A" w14:textId="77777777" w:rsidR="00B87888" w:rsidRDefault="00B87888" w:rsidP="0041359A">
      <w:pPr>
        <w:ind w:left="2340" w:hanging="2340"/>
      </w:pPr>
    </w:p>
    <w:p w14:paraId="4AC24E88" w14:textId="76A113A5" w:rsidR="00B87888" w:rsidRDefault="00B87888" w:rsidP="0041359A">
      <w:pPr>
        <w:ind w:left="2970" w:hanging="360"/>
      </w:pPr>
      <w:r>
        <w:t>A.</w:t>
      </w:r>
      <w:r>
        <w:tab/>
        <w:t>Communication, radio and television towers and accessory facilities as permitted in this section shall be unmanned facilities.</w:t>
      </w:r>
    </w:p>
    <w:p w14:paraId="1B4B9D03" w14:textId="41166384" w:rsidR="00B87888" w:rsidRDefault="00B87888" w:rsidP="0041359A">
      <w:pPr>
        <w:ind w:left="2970" w:hanging="360"/>
      </w:pPr>
      <w:r>
        <w:t>B.</w:t>
      </w:r>
      <w:r>
        <w:tab/>
        <w:t>These uses shall be exempt from the requirements of Article IV, 400.001 and from Article III, 300.002.001,004,A.</w:t>
      </w:r>
    </w:p>
    <w:p w14:paraId="3ED33B41" w14:textId="27FB0C7F" w:rsidR="00B87888" w:rsidRDefault="00B87888" w:rsidP="0041359A">
      <w:pPr>
        <w:ind w:left="2970" w:hanging="360"/>
      </w:pPr>
      <w:r>
        <w:t>C.</w:t>
      </w:r>
      <w:r>
        <w:tab/>
        <w:t>Tower heights shall not exceed two hundred and fifty (250) feet.</w:t>
      </w:r>
    </w:p>
    <w:p w14:paraId="48950B2C" w14:textId="242E5F7A" w:rsidR="00B87888" w:rsidRDefault="00B87888" w:rsidP="0041359A">
      <w:pPr>
        <w:ind w:left="2970" w:hanging="360"/>
      </w:pPr>
      <w:r>
        <w:t>D.</w:t>
      </w:r>
      <w:r>
        <w:tab/>
        <w:t>Shared use of existing towers shall be preferred to the construction of new towers. In the case of new towers, the applicant shall be required to present an inventory of existing towers within a reasonable distance and outline opportunities for shared use of existing facilities as an alternative to the proposed use.</w:t>
      </w:r>
    </w:p>
    <w:p w14:paraId="18DA79AB" w14:textId="64EFD5B6" w:rsidR="00B87888" w:rsidRDefault="00B87888" w:rsidP="0041359A">
      <w:pPr>
        <w:ind w:left="2970" w:hanging="360"/>
      </w:pPr>
      <w:r>
        <w:t>E.</w:t>
      </w:r>
      <w:r>
        <w:tab/>
        <w:t>The tower shall be located on the site so as to provide a minimum distance equal to twenty (20) percent of the tower height from all property lines.</w:t>
      </w:r>
    </w:p>
    <w:p w14:paraId="107A5111" w14:textId="03B3FAD6" w:rsidR="00B87888" w:rsidRDefault="00B87888" w:rsidP="0041359A">
      <w:pPr>
        <w:ind w:left="2970" w:hanging="360"/>
      </w:pPr>
      <w:r>
        <w:t>F.</w:t>
      </w:r>
      <w:r>
        <w:tab/>
        <w:t>All tower supports and peripheral anchors shall be located entirely within the boundaries of the property and in no case less than 20 feet from the property line.</w:t>
      </w:r>
    </w:p>
    <w:p w14:paraId="3F84B8A4" w14:textId="6F7F8E87" w:rsidR="00B87888" w:rsidRDefault="00B87888" w:rsidP="0041359A">
      <w:pPr>
        <w:ind w:left="2970" w:hanging="360"/>
      </w:pPr>
      <w:r>
        <w:t>G.</w:t>
      </w:r>
      <w:r>
        <w:tab/>
        <w:t>All towers and accessory facilities shall be sited to have the least practical adverse visual effect on the environment.</w:t>
      </w:r>
    </w:p>
    <w:p w14:paraId="61AC3FA5" w14:textId="23481802" w:rsidR="00B87888" w:rsidRDefault="00B87888" w:rsidP="0041359A">
      <w:pPr>
        <w:ind w:left="2970" w:hanging="360"/>
      </w:pPr>
      <w:r>
        <w:t>H.</w:t>
      </w:r>
      <w:r>
        <w:tab/>
        <w:t>Existing on-site vegetation shall be preserved to the maximum extent possible.</w:t>
      </w:r>
    </w:p>
    <w:p w14:paraId="5F696432" w14:textId="77777777" w:rsidR="00B87888" w:rsidRDefault="00B87888" w:rsidP="0041359A">
      <w:pPr>
        <w:ind w:left="2970" w:hanging="360"/>
      </w:pPr>
      <w:r>
        <w:t>I.</w:t>
      </w:r>
      <w:r>
        <w:tab/>
        <w:t>Towers shall not be artificially lighted except to assure public safety as required by the Federal Aviation Administration or other Federal or State authority.</w:t>
      </w:r>
    </w:p>
    <w:p w14:paraId="36002B90" w14:textId="4A498026" w:rsidR="00B87888" w:rsidRDefault="00B87888" w:rsidP="0041359A">
      <w:pPr>
        <w:ind w:left="2970" w:hanging="360"/>
      </w:pPr>
      <w:r>
        <w:t>J.</w:t>
      </w:r>
      <w:r>
        <w:tab/>
        <w:t>A chain link fence or barrier, not less than six (6) feet in height shall be provided around each tower. Access to the tower shall be through a locked gate.</w:t>
      </w:r>
    </w:p>
    <w:p w14:paraId="211A757F" w14:textId="7A2B6869" w:rsidR="00B87888" w:rsidRDefault="00B87888" w:rsidP="0041359A">
      <w:pPr>
        <w:ind w:left="2970" w:hanging="360"/>
      </w:pPr>
      <w:r>
        <w:lastRenderedPageBreak/>
        <w:t>K.</w:t>
      </w:r>
      <w:r>
        <w:tab/>
        <w:t>All proposed telecommunication towers shall provide one appropriate co-location spot be made available on said tower for local and/or regional emergency communication. Provision of any emergency communications equipment and service will be accompanied at no cost to the local or regional agency using the antennae and shall be the responsibility of the telecommunications provider. (3/2017)</w:t>
      </w:r>
    </w:p>
    <w:p w14:paraId="45FB55F5" w14:textId="77777777" w:rsidR="0071753A" w:rsidRDefault="0071753A" w:rsidP="00FB4028">
      <w:pPr>
        <w:rPr>
          <w:u w:val="single"/>
        </w:rPr>
      </w:pPr>
    </w:p>
    <w:p w14:paraId="5A9519F1" w14:textId="77777777" w:rsidR="0071753A" w:rsidRDefault="0071753A" w:rsidP="00FB4028"/>
    <w:p w14:paraId="09608FB0" w14:textId="1C6BB6CB" w:rsidR="006A1117" w:rsidRPr="00D33B89" w:rsidRDefault="006A1117" w:rsidP="000A002F">
      <w:pPr>
        <w:rPr>
          <w:b/>
          <w:bCs/>
          <w:color w:val="000000" w:themeColor="text1"/>
        </w:rPr>
      </w:pPr>
      <w:r w:rsidRPr="00D33B89">
        <w:rPr>
          <w:b/>
          <w:bCs/>
          <w:color w:val="000000" w:themeColor="text1"/>
        </w:rPr>
        <w:t>300.002.004</w:t>
      </w:r>
      <w:r w:rsidRPr="00D33B89">
        <w:rPr>
          <w:b/>
          <w:bCs/>
          <w:color w:val="000000" w:themeColor="text1"/>
        </w:rPr>
        <w:tab/>
      </w:r>
      <w:r w:rsidRPr="00D33B89">
        <w:rPr>
          <w:b/>
          <w:bCs/>
          <w:color w:val="000000" w:themeColor="text1"/>
        </w:rPr>
        <w:tab/>
        <w:t>Town Center Zone District 1</w:t>
      </w:r>
    </w:p>
    <w:p w14:paraId="65107FE3" w14:textId="77777777" w:rsidR="006A1117" w:rsidRPr="006A1117" w:rsidRDefault="006A1117" w:rsidP="000A002F">
      <w:pPr>
        <w:rPr>
          <w:b/>
          <w:bCs/>
          <w:color w:val="000000" w:themeColor="text1"/>
          <w:sz w:val="28"/>
          <w:szCs w:val="28"/>
        </w:rPr>
      </w:pPr>
    </w:p>
    <w:p w14:paraId="7493B12E" w14:textId="4A6A24BF" w:rsidR="000A002F" w:rsidRPr="006A1117" w:rsidRDefault="006A1117" w:rsidP="000A002F">
      <w:pPr>
        <w:rPr>
          <w:color w:val="000000" w:themeColor="text1"/>
        </w:rPr>
      </w:pPr>
      <w:r w:rsidRPr="006A1117">
        <w:rPr>
          <w:color w:val="000000" w:themeColor="text1"/>
        </w:rPr>
        <w:t xml:space="preserve">Use Table for the </w:t>
      </w:r>
      <w:r w:rsidR="004939A7" w:rsidRPr="006A1117">
        <w:rPr>
          <w:color w:val="000000" w:themeColor="text1"/>
        </w:rPr>
        <w:t xml:space="preserve">Town Center </w:t>
      </w:r>
      <w:r w:rsidRPr="006A1117">
        <w:rPr>
          <w:color w:val="000000" w:themeColor="text1"/>
        </w:rPr>
        <w:t xml:space="preserve">Zone </w:t>
      </w:r>
      <w:r w:rsidR="004939A7" w:rsidRPr="006A1117">
        <w:rPr>
          <w:color w:val="000000" w:themeColor="text1"/>
        </w:rPr>
        <w:t>District</w:t>
      </w:r>
      <w:r w:rsidRPr="006A1117">
        <w:rPr>
          <w:color w:val="000000" w:themeColor="text1"/>
        </w:rPr>
        <w:t xml:space="preserve"> 1</w:t>
      </w:r>
    </w:p>
    <w:p w14:paraId="699DA753" w14:textId="77777777" w:rsidR="00F91065" w:rsidRDefault="00F91065" w:rsidP="00F91065"/>
    <w:tbl>
      <w:tblPr>
        <w:tblStyle w:val="TableGrid"/>
        <w:tblW w:w="0" w:type="auto"/>
        <w:tblBorders>
          <w:insideH w:val="none" w:sz="0" w:space="0" w:color="auto"/>
          <w:insideV w:val="none" w:sz="0" w:space="0" w:color="auto"/>
        </w:tblBorders>
        <w:tblLook w:val="04A0" w:firstRow="1" w:lastRow="0" w:firstColumn="1" w:lastColumn="0" w:noHBand="0" w:noVBand="1"/>
      </w:tblPr>
      <w:tblGrid>
        <w:gridCol w:w="6295"/>
        <w:gridCol w:w="3055"/>
      </w:tblGrid>
      <w:tr w:rsidR="00F91065" w:rsidRPr="00D20761" w14:paraId="089848F3" w14:textId="77777777" w:rsidTr="00E476A7">
        <w:tc>
          <w:tcPr>
            <w:tcW w:w="6295" w:type="dxa"/>
            <w:tcBorders>
              <w:top w:val="single" w:sz="4" w:space="0" w:color="auto"/>
              <w:bottom w:val="single" w:sz="4" w:space="0" w:color="auto"/>
              <w:right w:val="single" w:sz="4" w:space="0" w:color="auto"/>
            </w:tcBorders>
          </w:tcPr>
          <w:p w14:paraId="6029198E" w14:textId="77777777" w:rsidR="00F91065" w:rsidRPr="00D20761" w:rsidRDefault="00F91065" w:rsidP="00E476A7">
            <w:pPr>
              <w:jc w:val="center"/>
              <w:rPr>
                <w:b/>
                <w:bCs/>
              </w:rPr>
            </w:pPr>
            <w:r w:rsidRPr="00D20761">
              <w:rPr>
                <w:b/>
                <w:bCs/>
              </w:rPr>
              <w:t>USES</w:t>
            </w:r>
          </w:p>
        </w:tc>
        <w:tc>
          <w:tcPr>
            <w:tcW w:w="3055" w:type="dxa"/>
            <w:tcBorders>
              <w:top w:val="single" w:sz="4" w:space="0" w:color="auto"/>
              <w:left w:val="single" w:sz="4" w:space="0" w:color="auto"/>
              <w:bottom w:val="single" w:sz="4" w:space="0" w:color="auto"/>
            </w:tcBorders>
          </w:tcPr>
          <w:p w14:paraId="23C646D6" w14:textId="77777777" w:rsidR="00F91065" w:rsidRPr="00D20761" w:rsidRDefault="00F91065" w:rsidP="00E476A7">
            <w:pPr>
              <w:jc w:val="center"/>
              <w:rPr>
                <w:b/>
                <w:bCs/>
              </w:rPr>
            </w:pPr>
            <w:r w:rsidRPr="00D20761">
              <w:rPr>
                <w:b/>
                <w:bCs/>
              </w:rPr>
              <w:t>Designation of Permit Status</w:t>
            </w:r>
          </w:p>
        </w:tc>
      </w:tr>
      <w:tr w:rsidR="00F91065" w:rsidRPr="00D20761" w14:paraId="7CC4D67E" w14:textId="77777777" w:rsidTr="00E476A7">
        <w:tc>
          <w:tcPr>
            <w:tcW w:w="6295" w:type="dxa"/>
            <w:tcBorders>
              <w:top w:val="single" w:sz="4" w:space="0" w:color="auto"/>
              <w:bottom w:val="nil"/>
              <w:right w:val="single" w:sz="4" w:space="0" w:color="auto"/>
            </w:tcBorders>
          </w:tcPr>
          <w:p w14:paraId="55335783" w14:textId="77777777" w:rsidR="00F91065" w:rsidRPr="00D20761" w:rsidRDefault="00F91065" w:rsidP="00E476A7">
            <w:pPr>
              <w:rPr>
                <w:b/>
                <w:bCs/>
              </w:rPr>
            </w:pPr>
            <w:r w:rsidRPr="00D20761">
              <w:rPr>
                <w:b/>
                <w:bCs/>
              </w:rPr>
              <w:t>A. RESIDENTIAL USES (3/14/2006)</w:t>
            </w:r>
          </w:p>
        </w:tc>
        <w:tc>
          <w:tcPr>
            <w:tcW w:w="3055" w:type="dxa"/>
            <w:tcBorders>
              <w:top w:val="single" w:sz="4" w:space="0" w:color="auto"/>
              <w:left w:val="single" w:sz="4" w:space="0" w:color="auto"/>
            </w:tcBorders>
          </w:tcPr>
          <w:p w14:paraId="2DB11023" w14:textId="77777777" w:rsidR="00F91065" w:rsidRPr="00D20761" w:rsidRDefault="00F91065" w:rsidP="00E476A7">
            <w:pPr>
              <w:jc w:val="center"/>
            </w:pPr>
            <w:r w:rsidRPr="00D20761">
              <w:t>P</w:t>
            </w:r>
          </w:p>
        </w:tc>
      </w:tr>
      <w:tr w:rsidR="00F91065" w:rsidRPr="00D20761" w14:paraId="55EA1560" w14:textId="77777777" w:rsidTr="00E476A7">
        <w:tc>
          <w:tcPr>
            <w:tcW w:w="6295" w:type="dxa"/>
            <w:tcBorders>
              <w:top w:val="nil"/>
              <w:bottom w:val="nil"/>
              <w:right w:val="single" w:sz="4" w:space="0" w:color="auto"/>
            </w:tcBorders>
          </w:tcPr>
          <w:p w14:paraId="2665A06D" w14:textId="4CAA7078" w:rsidR="00F91065" w:rsidRPr="00D20761" w:rsidRDefault="00F91065" w:rsidP="0052485F">
            <w:pPr>
              <w:ind w:left="337" w:hanging="337"/>
            </w:pPr>
            <w:r w:rsidRPr="00D20761">
              <w:t xml:space="preserve">1. </w:t>
            </w:r>
            <w:r w:rsidR="0052485F">
              <w:t xml:space="preserve"> </w:t>
            </w:r>
            <w:r w:rsidRPr="00D20761">
              <w:t>Single family dwelling</w:t>
            </w:r>
          </w:p>
        </w:tc>
        <w:tc>
          <w:tcPr>
            <w:tcW w:w="3055" w:type="dxa"/>
            <w:tcBorders>
              <w:left w:val="single" w:sz="4" w:space="0" w:color="auto"/>
            </w:tcBorders>
          </w:tcPr>
          <w:p w14:paraId="23C84ACB" w14:textId="77777777" w:rsidR="00F91065" w:rsidRPr="00D20761" w:rsidRDefault="00F91065" w:rsidP="00E476A7">
            <w:pPr>
              <w:jc w:val="center"/>
            </w:pPr>
            <w:r w:rsidRPr="00D20761">
              <w:t>P</w:t>
            </w:r>
          </w:p>
        </w:tc>
      </w:tr>
      <w:tr w:rsidR="00F91065" w:rsidRPr="00D20761" w14:paraId="79DF1041" w14:textId="77777777" w:rsidTr="00E476A7">
        <w:tc>
          <w:tcPr>
            <w:tcW w:w="6295" w:type="dxa"/>
            <w:tcBorders>
              <w:top w:val="nil"/>
              <w:bottom w:val="nil"/>
              <w:right w:val="single" w:sz="4" w:space="0" w:color="auto"/>
            </w:tcBorders>
          </w:tcPr>
          <w:p w14:paraId="1042F698" w14:textId="1AC91594" w:rsidR="00F91065" w:rsidRPr="00D20761" w:rsidRDefault="00F91065" w:rsidP="0052485F">
            <w:pPr>
              <w:ind w:left="337" w:hanging="337"/>
            </w:pPr>
            <w:r w:rsidRPr="00D20761">
              <w:t xml:space="preserve">2. </w:t>
            </w:r>
            <w:r w:rsidR="0052485F">
              <w:t xml:space="preserve"> </w:t>
            </w:r>
            <w:r w:rsidRPr="00D20761">
              <w:t xml:space="preserve">Cluster developments in accordance with the standards found in the Brentwood Zoning Ordinance. </w:t>
            </w:r>
          </w:p>
        </w:tc>
        <w:tc>
          <w:tcPr>
            <w:tcW w:w="3055" w:type="dxa"/>
            <w:tcBorders>
              <w:left w:val="single" w:sz="4" w:space="0" w:color="auto"/>
            </w:tcBorders>
          </w:tcPr>
          <w:p w14:paraId="73FADC37" w14:textId="77777777" w:rsidR="00F91065" w:rsidRPr="00D20761" w:rsidRDefault="00F91065" w:rsidP="00E476A7">
            <w:pPr>
              <w:jc w:val="center"/>
            </w:pPr>
            <w:r w:rsidRPr="00D20761">
              <w:t>P</w:t>
            </w:r>
          </w:p>
        </w:tc>
      </w:tr>
      <w:tr w:rsidR="00F91065" w:rsidRPr="00D20761" w14:paraId="025FAA34" w14:textId="77777777" w:rsidTr="00E476A7">
        <w:tc>
          <w:tcPr>
            <w:tcW w:w="6295" w:type="dxa"/>
            <w:tcBorders>
              <w:top w:val="nil"/>
              <w:bottom w:val="nil"/>
              <w:right w:val="single" w:sz="4" w:space="0" w:color="auto"/>
            </w:tcBorders>
          </w:tcPr>
          <w:p w14:paraId="7D7F8B90" w14:textId="718B2CD1" w:rsidR="00F91065" w:rsidRPr="00D20761" w:rsidRDefault="00F91065" w:rsidP="0052485F">
            <w:pPr>
              <w:ind w:left="337" w:hanging="337"/>
            </w:pPr>
            <w:r w:rsidRPr="00D20761">
              <w:t xml:space="preserve">3. </w:t>
            </w:r>
            <w:r w:rsidR="0052485F">
              <w:t xml:space="preserve"> </w:t>
            </w:r>
            <w:r w:rsidRPr="00D20761">
              <w:t>Manufactured housing; Mobile homes.</w:t>
            </w:r>
          </w:p>
        </w:tc>
        <w:tc>
          <w:tcPr>
            <w:tcW w:w="3055" w:type="dxa"/>
            <w:tcBorders>
              <w:left w:val="single" w:sz="4" w:space="0" w:color="auto"/>
            </w:tcBorders>
          </w:tcPr>
          <w:p w14:paraId="211A208E" w14:textId="77777777" w:rsidR="00F91065" w:rsidRPr="00D20761" w:rsidRDefault="00F91065" w:rsidP="00E476A7">
            <w:pPr>
              <w:jc w:val="center"/>
            </w:pPr>
            <w:r w:rsidRPr="00D20761">
              <w:t>P</w:t>
            </w:r>
          </w:p>
        </w:tc>
      </w:tr>
      <w:tr w:rsidR="00F91065" w:rsidRPr="00D20761" w14:paraId="3B9722E0" w14:textId="77777777" w:rsidTr="00E476A7">
        <w:tc>
          <w:tcPr>
            <w:tcW w:w="6295" w:type="dxa"/>
            <w:tcBorders>
              <w:top w:val="nil"/>
              <w:bottom w:val="nil"/>
              <w:right w:val="single" w:sz="4" w:space="0" w:color="auto"/>
            </w:tcBorders>
          </w:tcPr>
          <w:p w14:paraId="668456AF" w14:textId="77777777" w:rsidR="00D33B89" w:rsidRDefault="00D33B89" w:rsidP="0052485F">
            <w:pPr>
              <w:ind w:left="337" w:hanging="337"/>
            </w:pPr>
            <w:r>
              <w:t xml:space="preserve">4.  </w:t>
            </w:r>
            <w:r w:rsidRPr="00D20761">
              <w:t>Home occupations in accordance with Brentwood Zoning Ordinance.</w:t>
            </w:r>
          </w:p>
          <w:p w14:paraId="52C5C8BF" w14:textId="123698AB" w:rsidR="00D33B89" w:rsidRDefault="00D33B89" w:rsidP="0052485F">
            <w:pPr>
              <w:ind w:left="337" w:hanging="337"/>
            </w:pPr>
            <w:r>
              <w:t>5</w:t>
            </w:r>
            <w:r w:rsidR="00F91065">
              <w:t xml:space="preserve">. </w:t>
            </w:r>
            <w:r w:rsidR="0052485F">
              <w:t xml:space="preserve"> </w:t>
            </w:r>
            <w:r w:rsidRPr="00D20761">
              <w:t xml:space="preserve">Accessory </w:t>
            </w:r>
            <w:r w:rsidRPr="00D33B89">
              <w:rPr>
                <w:u w:val="single"/>
              </w:rPr>
              <w:t>dwelling units</w:t>
            </w:r>
            <w:r w:rsidRPr="00D20761">
              <w:t xml:space="preserve"> in accordance with the Brentwood Zoning Ordinance.</w:t>
            </w:r>
          </w:p>
          <w:p w14:paraId="2B112C5D" w14:textId="7ADE4D31" w:rsidR="00F91065" w:rsidRPr="00D20761" w:rsidRDefault="00D33B89" w:rsidP="00D33B89">
            <w:pPr>
              <w:ind w:left="337" w:hanging="337"/>
            </w:pPr>
            <w:r w:rsidRPr="00D33B89">
              <w:rPr>
                <w:u w:val="single"/>
              </w:rPr>
              <w:t>6</w:t>
            </w:r>
            <w:r>
              <w:t xml:space="preserve">.  </w:t>
            </w:r>
            <w:r w:rsidR="00F91065" w:rsidRPr="00D33B89">
              <w:rPr>
                <w:u w:val="single"/>
              </w:rPr>
              <w:t>Multi-family dwellings (No more than three (3) attached individual dwelling units per building</w:t>
            </w:r>
            <w:r>
              <w:rPr>
                <w:u w:val="single"/>
              </w:rPr>
              <w:t>.</w:t>
            </w:r>
          </w:p>
        </w:tc>
        <w:tc>
          <w:tcPr>
            <w:tcW w:w="3055" w:type="dxa"/>
            <w:tcBorders>
              <w:left w:val="single" w:sz="4" w:space="0" w:color="auto"/>
            </w:tcBorders>
          </w:tcPr>
          <w:p w14:paraId="4132159D" w14:textId="77777777" w:rsidR="00F91065" w:rsidRDefault="00F91065" w:rsidP="00E476A7">
            <w:pPr>
              <w:jc w:val="center"/>
            </w:pPr>
            <w:r w:rsidRPr="00D20761">
              <w:t>P</w:t>
            </w:r>
          </w:p>
          <w:p w14:paraId="7AC949E0" w14:textId="77777777" w:rsidR="00D33B89" w:rsidRDefault="00D33B89" w:rsidP="00E476A7">
            <w:pPr>
              <w:jc w:val="center"/>
            </w:pPr>
          </w:p>
          <w:p w14:paraId="7873CEAC" w14:textId="77777777" w:rsidR="00D33B89" w:rsidRDefault="00D33B89" w:rsidP="00E476A7">
            <w:pPr>
              <w:jc w:val="center"/>
            </w:pPr>
          </w:p>
          <w:p w14:paraId="7E6474F1" w14:textId="77777777" w:rsidR="00D33B89" w:rsidRDefault="00D33B89" w:rsidP="00E476A7">
            <w:pPr>
              <w:jc w:val="center"/>
            </w:pPr>
          </w:p>
          <w:p w14:paraId="4CDFAA5A" w14:textId="6183682E" w:rsidR="00D33B89" w:rsidRPr="00D20761" w:rsidRDefault="00D33B89" w:rsidP="00E476A7">
            <w:pPr>
              <w:jc w:val="center"/>
            </w:pPr>
            <w:r>
              <w:t>P</w:t>
            </w:r>
          </w:p>
        </w:tc>
      </w:tr>
      <w:tr w:rsidR="00F91065" w14:paraId="05E332D0" w14:textId="77777777" w:rsidTr="00E476A7">
        <w:tc>
          <w:tcPr>
            <w:tcW w:w="6295" w:type="dxa"/>
            <w:tcBorders>
              <w:top w:val="nil"/>
              <w:bottom w:val="single" w:sz="4" w:space="0" w:color="auto"/>
              <w:right w:val="single" w:sz="4" w:space="0" w:color="auto"/>
            </w:tcBorders>
          </w:tcPr>
          <w:p w14:paraId="51E28E77" w14:textId="3CDC11C3" w:rsidR="00F91065" w:rsidRPr="00D20761" w:rsidRDefault="00F91065" w:rsidP="0052485F">
            <w:pPr>
              <w:ind w:left="337" w:hanging="337"/>
            </w:pPr>
            <w:r w:rsidRPr="00D33B89">
              <w:rPr>
                <w:strike/>
              </w:rPr>
              <w:t>6</w:t>
            </w:r>
            <w:r w:rsidRPr="00D20761">
              <w:t xml:space="preserve">. </w:t>
            </w:r>
            <w:r w:rsidR="0052485F">
              <w:t xml:space="preserve"> </w:t>
            </w:r>
            <w:r w:rsidR="00AE79A6">
              <w:t>Senior Hous</w:t>
            </w:r>
            <w:r w:rsidR="00537079">
              <w:t>ing</w:t>
            </w:r>
            <w:r w:rsidRPr="00D20761">
              <w:t xml:space="preserve"> (Removed by Town Vote 2022) </w:t>
            </w:r>
          </w:p>
        </w:tc>
        <w:tc>
          <w:tcPr>
            <w:tcW w:w="3055" w:type="dxa"/>
            <w:tcBorders>
              <w:left w:val="single" w:sz="4" w:space="0" w:color="auto"/>
            </w:tcBorders>
          </w:tcPr>
          <w:p w14:paraId="7B8058FF" w14:textId="2AFC5521" w:rsidR="00F91065" w:rsidRPr="0052485F" w:rsidRDefault="00F91065" w:rsidP="00E476A7">
            <w:pPr>
              <w:jc w:val="center"/>
              <w:rPr>
                <w:strike/>
              </w:rPr>
            </w:pPr>
          </w:p>
        </w:tc>
      </w:tr>
    </w:tbl>
    <w:p w14:paraId="3A2A7721" w14:textId="77777777" w:rsidR="008F231B" w:rsidRDefault="008F231B">
      <w:pPr>
        <w:rPr>
          <w:b/>
          <w:bCs/>
          <w:color w:val="1F4E79" w:themeColor="accent5" w:themeShade="80"/>
          <w:sz w:val="28"/>
          <w:szCs w:val="28"/>
        </w:rPr>
      </w:pPr>
      <w:r>
        <w:rPr>
          <w:b/>
          <w:bCs/>
          <w:color w:val="1F4E79" w:themeColor="accent5" w:themeShade="80"/>
          <w:sz w:val="28"/>
          <w:szCs w:val="28"/>
        </w:rPr>
        <w:br w:type="page"/>
      </w:r>
    </w:p>
    <w:p w14:paraId="39850A16" w14:textId="77777777" w:rsidR="006A1117" w:rsidRDefault="006A1117" w:rsidP="00744FE6">
      <w:pPr>
        <w:rPr>
          <w:b/>
          <w:bCs/>
          <w:color w:val="1F4E79" w:themeColor="accent5" w:themeShade="80"/>
          <w:sz w:val="28"/>
          <w:szCs w:val="28"/>
        </w:rPr>
      </w:pPr>
    </w:p>
    <w:p w14:paraId="1E677A69" w14:textId="241AF711" w:rsidR="00744FE6" w:rsidRPr="006A1117" w:rsidRDefault="00F91065" w:rsidP="00744FE6">
      <w:pPr>
        <w:rPr>
          <w:b/>
          <w:bCs/>
          <w:color w:val="000000" w:themeColor="text1"/>
          <w:sz w:val="28"/>
          <w:szCs w:val="28"/>
        </w:rPr>
      </w:pPr>
      <w:r w:rsidRPr="006A1117">
        <w:rPr>
          <w:b/>
          <w:bCs/>
          <w:color w:val="000000" w:themeColor="text1"/>
          <w:sz w:val="28"/>
          <w:szCs w:val="28"/>
        </w:rPr>
        <w:t xml:space="preserve">Article II: </w:t>
      </w:r>
      <w:r w:rsidR="00744FE6" w:rsidRPr="006A1117">
        <w:rPr>
          <w:b/>
          <w:bCs/>
          <w:color w:val="000000" w:themeColor="text1"/>
          <w:sz w:val="28"/>
          <w:szCs w:val="28"/>
        </w:rPr>
        <w:t>Definitions</w:t>
      </w:r>
    </w:p>
    <w:p w14:paraId="7C3D2924" w14:textId="37A3A1C4" w:rsidR="00744FE6" w:rsidRPr="001F656C" w:rsidRDefault="00744FE6" w:rsidP="00744FE6">
      <w:pPr>
        <w:rPr>
          <w:strike/>
        </w:rPr>
      </w:pPr>
    </w:p>
    <w:p w14:paraId="51603347" w14:textId="77777777" w:rsidR="00744FE6" w:rsidRDefault="00744FE6" w:rsidP="00744FE6"/>
    <w:p w14:paraId="78A2273A" w14:textId="45252D94" w:rsidR="00744FE6" w:rsidRPr="001F656C" w:rsidRDefault="001B2A5B" w:rsidP="00C47BD7">
      <w:pPr>
        <w:rPr>
          <w:u w:val="single"/>
        </w:rPr>
      </w:pPr>
      <w:r>
        <w:rPr>
          <w:b/>
          <w:bCs/>
        </w:rPr>
        <w:t xml:space="preserve">200.028 </w:t>
      </w:r>
      <w:r w:rsidR="00744FE6" w:rsidRPr="001A28B0">
        <w:rPr>
          <w:b/>
          <w:bCs/>
        </w:rPr>
        <w:t>Dwelling Unit</w:t>
      </w:r>
      <w:r w:rsidR="00744FE6">
        <w:t xml:space="preserve"> - </w:t>
      </w:r>
      <w:r w:rsidR="00F91065" w:rsidRPr="003A46CA">
        <w:t xml:space="preserve">A building or portion of a building designed and equipped for use as a permanent residence by one or more individuals living together as a single housekeeping unit. </w:t>
      </w:r>
      <w:r w:rsidRPr="003A46CA">
        <w:t>A dwelling unit includes independent living, cooking, sleeping, and sanitary facilities.</w:t>
      </w:r>
      <w:r w:rsidRPr="001F656C">
        <w:rPr>
          <w:u w:val="single"/>
        </w:rPr>
        <w:t xml:space="preserve"> </w:t>
      </w:r>
    </w:p>
    <w:p w14:paraId="64BEAFE1" w14:textId="5EED5047" w:rsidR="00744FE6" w:rsidRPr="001F656C" w:rsidRDefault="00744FE6" w:rsidP="00C47BD7">
      <w:pPr>
        <w:rPr>
          <w:strike/>
        </w:rPr>
      </w:pPr>
    </w:p>
    <w:p w14:paraId="026E4433" w14:textId="77777777" w:rsidR="00744FE6" w:rsidRDefault="00744FE6" w:rsidP="00744FE6"/>
    <w:p w14:paraId="74AFDF0F" w14:textId="0468A9E4" w:rsidR="00744FE6" w:rsidRDefault="001B2A5B" w:rsidP="00744FE6">
      <w:r>
        <w:rPr>
          <w:b/>
          <w:bCs/>
        </w:rPr>
        <w:t xml:space="preserve">200.048 </w:t>
      </w:r>
      <w:r w:rsidR="00744FE6" w:rsidRPr="001A28B0">
        <w:rPr>
          <w:b/>
          <w:bCs/>
        </w:rPr>
        <w:t>Multi-Family Dwelling</w:t>
      </w:r>
      <w:r w:rsidR="00744FE6">
        <w:t xml:space="preserve"> - </w:t>
      </w:r>
      <w:r w:rsidR="00744FE6" w:rsidRPr="00E3738D">
        <w:t xml:space="preserve">A building </w:t>
      </w:r>
      <w:r w:rsidRPr="003A46CA">
        <w:t>or portion thereof</w:t>
      </w:r>
      <w:r>
        <w:t xml:space="preserve"> </w:t>
      </w:r>
      <w:r w:rsidR="00744FE6" w:rsidRPr="00E3738D">
        <w:t xml:space="preserve">containing </w:t>
      </w:r>
      <w:r w:rsidRPr="003A46CA">
        <w:t xml:space="preserve">three </w:t>
      </w:r>
      <w:r w:rsidR="00B87888" w:rsidRPr="003A46CA">
        <w:t xml:space="preserve">(3) </w:t>
      </w:r>
      <w:r w:rsidRPr="003A46CA">
        <w:t xml:space="preserve">or more dwelling units, designed for residential use by three </w:t>
      </w:r>
      <w:r w:rsidR="00B87888" w:rsidRPr="003A46CA">
        <w:t xml:space="preserve">(3) </w:t>
      </w:r>
      <w:r w:rsidRPr="003A46CA">
        <w:t>or more households living independently of one another. Each dwelling unit within a multi-family dwelling shall have its own kitchen, bathroom, and living fac</w:t>
      </w:r>
      <w:r w:rsidR="00B87888" w:rsidRPr="003A46CA">
        <w:t>ilities, and share common access to the structure or site.</w:t>
      </w:r>
      <w:r w:rsidR="00B87888">
        <w:t xml:space="preserve"> </w:t>
      </w:r>
    </w:p>
    <w:p w14:paraId="2058F05B" w14:textId="6D38A12C" w:rsidR="0021333F" w:rsidRPr="003A46CA" w:rsidRDefault="0021333F" w:rsidP="00744FE6">
      <w:pPr>
        <w:rPr>
          <w:b/>
          <w:bCs/>
          <w:i/>
          <w:iCs/>
        </w:rPr>
      </w:pPr>
    </w:p>
    <w:p w14:paraId="2B1C96A6" w14:textId="77777777" w:rsidR="001F656C" w:rsidRDefault="001F656C" w:rsidP="00744FE6">
      <w:pPr>
        <w:rPr>
          <w:b/>
          <w:bCs/>
          <w:i/>
          <w:iCs/>
          <w:u w:val="single"/>
        </w:rPr>
      </w:pPr>
    </w:p>
    <w:p w14:paraId="0082CD82" w14:textId="5731ECE0" w:rsidR="0021333F" w:rsidRPr="003A46CA" w:rsidRDefault="001F656C" w:rsidP="00744FE6">
      <w:r w:rsidRPr="003A46CA">
        <w:rPr>
          <w:b/>
          <w:bCs/>
        </w:rPr>
        <w:t>Light Industry.</w:t>
      </w:r>
      <w:r w:rsidRPr="003A46CA">
        <w:t xml:space="preserve"> Manufacturing or industrial uses involving the research and development, manufacturing, production, processing, fabrication, compounding, assembly, treatment, repair, or packaging of finished or semifinished products, predominantly from previously prepared, refined, or non-extractive raw materials. Such uses are capable of operating in a manner that minimizes and controls external effects, including smoke, noise, vibration, odor, dust, glare, or similar impacts. Operations are generally conducted wholly within enclosed buildings, although finished or </w:t>
      </w:r>
      <w:r w:rsidR="003A46CA" w:rsidRPr="003A46CA">
        <w:t>semi-finished</w:t>
      </w:r>
      <w:r w:rsidRPr="003A46CA">
        <w:t xml:space="preserve"> products may be temporarily stored outdoors pending shipment. Warehousing, wholesaling, and distribution of products produced on the site may occur as accessory activities to the principal use. Excludes manufacturing or other industrial uses engaged in the basic processing, fabrication, or assembly activities involving materials or products predominately derived from extracted or raw materials, or manufacturing processes that may use hazardous materials, or activities that may produce external effects such as noise, vibration, odor, or dust, and that may involve significant outdoor operations.</w:t>
      </w:r>
    </w:p>
    <w:p w14:paraId="01F14B79" w14:textId="6430EF4C" w:rsidR="001F656C" w:rsidRDefault="001F656C" w:rsidP="001F656C">
      <w:pPr>
        <w:rPr>
          <w:b/>
          <w:bCs/>
        </w:rPr>
      </w:pPr>
    </w:p>
    <w:p w14:paraId="20E91A48" w14:textId="77777777" w:rsidR="001F656C" w:rsidRDefault="001F656C" w:rsidP="001F656C">
      <w:pPr>
        <w:rPr>
          <w:b/>
          <w:bCs/>
        </w:rPr>
      </w:pPr>
    </w:p>
    <w:p w14:paraId="29A1EDEA" w14:textId="77777777" w:rsidR="001F656C" w:rsidRPr="00B404D1" w:rsidRDefault="001F656C" w:rsidP="001F656C">
      <w:r w:rsidRPr="00B404D1">
        <w:t>3001.001.004</w:t>
      </w:r>
      <w:r w:rsidRPr="00B404D1">
        <w:tab/>
        <w:t xml:space="preserve">Residential / Agricultural District </w:t>
      </w:r>
    </w:p>
    <w:p w14:paraId="4430E580" w14:textId="77777777" w:rsidR="001F656C" w:rsidRPr="00B404D1" w:rsidRDefault="001F656C" w:rsidP="001F656C"/>
    <w:p w14:paraId="22E141E2" w14:textId="11C7BD05" w:rsidR="001F656C" w:rsidRDefault="001F656C" w:rsidP="001F656C">
      <w:pPr>
        <w:ind w:left="1440"/>
      </w:pPr>
      <w:r w:rsidRPr="00B404D1">
        <w:t>The Residential / Agricultural District is defined as all land in the Town of Brentwood not included in the Commercial / Industrial District</w:t>
      </w:r>
      <w:r w:rsidR="0058266A">
        <w:t xml:space="preserve">. </w:t>
      </w:r>
      <w:r>
        <w:t xml:space="preserve"> </w:t>
      </w:r>
    </w:p>
    <w:p w14:paraId="36A94189" w14:textId="77777777" w:rsidR="001F656C" w:rsidRPr="0041359A" w:rsidRDefault="001F656C" w:rsidP="001F656C"/>
    <w:p w14:paraId="1643F4B9" w14:textId="77777777" w:rsidR="001F656C" w:rsidRPr="00AF1741" w:rsidRDefault="001F656C" w:rsidP="001F656C">
      <w:r w:rsidRPr="00AF1741">
        <w:t>The following sections are repealed:</w:t>
      </w:r>
    </w:p>
    <w:p w14:paraId="4810096A" w14:textId="77777777" w:rsidR="001F656C" w:rsidRDefault="001F656C" w:rsidP="001F656C"/>
    <w:p w14:paraId="2A4607CB" w14:textId="77777777" w:rsidR="001F656C" w:rsidRDefault="001F656C" w:rsidP="001F656C">
      <w:r>
        <w:t>300.001.002 Multi-family / Professional Office District</w:t>
      </w:r>
    </w:p>
    <w:p w14:paraId="5BA5B9E1" w14:textId="77777777" w:rsidR="001F656C" w:rsidRDefault="001F656C" w:rsidP="001F656C"/>
    <w:p w14:paraId="7FD8E359" w14:textId="77777777" w:rsidR="001F656C" w:rsidRDefault="001F656C" w:rsidP="001F656C">
      <w:r>
        <w:t>300.002.002 Multi-family District</w:t>
      </w:r>
    </w:p>
    <w:p w14:paraId="3E96BBC7" w14:textId="77777777" w:rsidR="001F656C" w:rsidRDefault="001F656C" w:rsidP="001F656C"/>
    <w:p w14:paraId="37AE9118" w14:textId="77777777" w:rsidR="001F656C" w:rsidRDefault="001F656C" w:rsidP="001F656C">
      <w:r>
        <w:t>300.002.003 Professional Office District</w:t>
      </w:r>
    </w:p>
    <w:p w14:paraId="3F010A5A" w14:textId="77777777" w:rsidR="001F656C" w:rsidRDefault="001F656C" w:rsidP="001F656C"/>
    <w:p w14:paraId="50F2D804" w14:textId="77777777" w:rsidR="001F656C" w:rsidRPr="0021333F" w:rsidRDefault="001F656C" w:rsidP="00744FE6"/>
    <w:sectPr w:rsidR="001F656C" w:rsidRPr="002133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8122" w14:textId="77777777" w:rsidR="00A10E9C" w:rsidRDefault="00A10E9C" w:rsidP="00F16224">
      <w:r>
        <w:separator/>
      </w:r>
    </w:p>
  </w:endnote>
  <w:endnote w:type="continuationSeparator" w:id="0">
    <w:p w14:paraId="4E412AB3" w14:textId="77777777" w:rsidR="00A10E9C" w:rsidRDefault="00A10E9C" w:rsidP="00F1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131319"/>
      <w:docPartObj>
        <w:docPartGallery w:val="Page Numbers (Bottom of Page)"/>
        <w:docPartUnique/>
      </w:docPartObj>
    </w:sdtPr>
    <w:sdtEndPr>
      <w:rPr>
        <w:noProof/>
      </w:rPr>
    </w:sdtEndPr>
    <w:sdtContent>
      <w:p w14:paraId="5C3EAA13" w14:textId="708F99A7" w:rsidR="00F16224" w:rsidRDefault="002A5422" w:rsidP="002A5422">
        <w:pPr>
          <w:pStyle w:val="Footer"/>
        </w:pPr>
        <w:r>
          <w:rPr>
            <w:i/>
            <w:iCs/>
          </w:rPr>
          <w:tab/>
        </w:r>
        <w:r>
          <w:rPr>
            <w:i/>
            <w:iCs/>
          </w:rPr>
          <w:tab/>
        </w:r>
      </w:p>
    </w:sdtContent>
  </w:sdt>
  <w:p w14:paraId="55C543A5" w14:textId="77777777" w:rsidR="00F16224" w:rsidRDefault="00F16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352E" w14:textId="77777777" w:rsidR="00A10E9C" w:rsidRDefault="00A10E9C" w:rsidP="00F16224">
      <w:r>
        <w:separator/>
      </w:r>
    </w:p>
  </w:footnote>
  <w:footnote w:type="continuationSeparator" w:id="0">
    <w:p w14:paraId="569D28FA" w14:textId="77777777" w:rsidR="00A10E9C" w:rsidRDefault="00A10E9C" w:rsidP="00F16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C1"/>
    <w:multiLevelType w:val="hybridMultilevel"/>
    <w:tmpl w:val="0D5E0D1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F445F1"/>
    <w:multiLevelType w:val="multilevel"/>
    <w:tmpl w:val="CBE0F13E"/>
    <w:lvl w:ilvl="0">
      <w:start w:val="300"/>
      <w:numFmt w:val="decimal"/>
      <w:lvlText w:val="%1"/>
      <w:lvlJc w:val="left"/>
      <w:pPr>
        <w:ind w:left="1640" w:hanging="1640"/>
      </w:pPr>
      <w:rPr>
        <w:rFonts w:hint="default"/>
      </w:rPr>
    </w:lvl>
    <w:lvl w:ilvl="1">
      <w:start w:val="2"/>
      <w:numFmt w:val="decimalZero"/>
      <w:lvlText w:val="%1.%2"/>
      <w:lvlJc w:val="left"/>
      <w:pPr>
        <w:ind w:left="1880" w:hanging="1640"/>
      </w:pPr>
      <w:rPr>
        <w:rFonts w:hint="default"/>
      </w:rPr>
    </w:lvl>
    <w:lvl w:ilvl="2">
      <w:start w:val="1"/>
      <w:numFmt w:val="decimalZero"/>
      <w:lvlText w:val="%1.%2.%3"/>
      <w:lvlJc w:val="left"/>
      <w:pPr>
        <w:ind w:left="2120" w:hanging="1640"/>
      </w:pPr>
      <w:rPr>
        <w:rFonts w:hint="default"/>
      </w:rPr>
    </w:lvl>
    <w:lvl w:ilvl="3">
      <w:start w:val="3"/>
      <w:numFmt w:val="decimalZero"/>
      <w:lvlText w:val="%1.%2.%3.%4"/>
      <w:lvlJc w:val="left"/>
      <w:pPr>
        <w:ind w:left="2630" w:hanging="1640"/>
      </w:pPr>
      <w:rPr>
        <w:rFonts w:hint="default"/>
      </w:rPr>
    </w:lvl>
    <w:lvl w:ilvl="4">
      <w:start w:val="1"/>
      <w:numFmt w:val="decimal"/>
      <w:lvlText w:val="%1.%2.%3.%4.%5"/>
      <w:lvlJc w:val="left"/>
      <w:pPr>
        <w:ind w:left="2600" w:hanging="1640"/>
      </w:pPr>
      <w:rPr>
        <w:rFonts w:hint="default"/>
      </w:rPr>
    </w:lvl>
    <w:lvl w:ilvl="5">
      <w:start w:val="1"/>
      <w:numFmt w:val="decimal"/>
      <w:lvlText w:val="%1.%2.%3.%4.%5.%6"/>
      <w:lvlJc w:val="left"/>
      <w:pPr>
        <w:ind w:left="2840" w:hanging="1640"/>
      </w:pPr>
      <w:rPr>
        <w:rFonts w:hint="default"/>
      </w:rPr>
    </w:lvl>
    <w:lvl w:ilvl="6">
      <w:start w:val="1"/>
      <w:numFmt w:val="decimal"/>
      <w:lvlText w:val="%1.%2.%3.%4.%5.%6.%7"/>
      <w:lvlJc w:val="left"/>
      <w:pPr>
        <w:ind w:left="3080" w:hanging="1640"/>
      </w:pPr>
      <w:rPr>
        <w:rFonts w:hint="default"/>
      </w:rPr>
    </w:lvl>
    <w:lvl w:ilvl="7">
      <w:start w:val="1"/>
      <w:numFmt w:val="decimal"/>
      <w:lvlText w:val="%1.%2.%3.%4.%5.%6.%7.%8"/>
      <w:lvlJc w:val="left"/>
      <w:pPr>
        <w:ind w:left="3320" w:hanging="16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D0E1366"/>
    <w:multiLevelType w:val="hybridMultilevel"/>
    <w:tmpl w:val="A678F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D70"/>
    <w:multiLevelType w:val="hybridMultilevel"/>
    <w:tmpl w:val="177C7986"/>
    <w:lvl w:ilvl="0" w:tplc="AE2E9A4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40D6768"/>
    <w:multiLevelType w:val="hybridMultilevel"/>
    <w:tmpl w:val="EBB63EBA"/>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660C8"/>
    <w:multiLevelType w:val="hybridMultilevel"/>
    <w:tmpl w:val="46B8586C"/>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2F5FB2"/>
    <w:multiLevelType w:val="hybridMultilevel"/>
    <w:tmpl w:val="195899CC"/>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31C05A92"/>
    <w:multiLevelType w:val="multilevel"/>
    <w:tmpl w:val="DA62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65A3A"/>
    <w:multiLevelType w:val="hybridMultilevel"/>
    <w:tmpl w:val="16367A02"/>
    <w:lvl w:ilvl="0" w:tplc="6166204A">
      <w:start w:val="1"/>
      <w:numFmt w:val="upperLetter"/>
      <w:lvlText w:val="%1."/>
      <w:lvlJc w:val="left"/>
      <w:pPr>
        <w:ind w:left="3150" w:hanging="360"/>
      </w:pPr>
      <w:rPr>
        <w:rFonts w:hint="default"/>
      </w:r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 w15:restartNumberingAfterBreak="0">
    <w:nsid w:val="49951E52"/>
    <w:multiLevelType w:val="hybridMultilevel"/>
    <w:tmpl w:val="6F0A51F8"/>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4C0A6893"/>
    <w:multiLevelType w:val="hybridMultilevel"/>
    <w:tmpl w:val="470C2460"/>
    <w:lvl w:ilvl="0" w:tplc="04090015">
      <w:start w:val="1"/>
      <w:numFmt w:val="upperLetter"/>
      <w:lvlText w:val="%1."/>
      <w:lvlJc w:val="left"/>
      <w:pPr>
        <w:ind w:left="2888" w:hanging="360"/>
      </w:p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11" w15:restartNumberingAfterBreak="0">
    <w:nsid w:val="4D270806"/>
    <w:multiLevelType w:val="hybridMultilevel"/>
    <w:tmpl w:val="78AAAFF4"/>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4D8B1506"/>
    <w:multiLevelType w:val="hybridMultilevel"/>
    <w:tmpl w:val="71289C1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0B61996"/>
    <w:multiLevelType w:val="hybridMultilevel"/>
    <w:tmpl w:val="6F0A51F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464536E"/>
    <w:multiLevelType w:val="hybridMultilevel"/>
    <w:tmpl w:val="D31686E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56DE38B3"/>
    <w:multiLevelType w:val="hybridMultilevel"/>
    <w:tmpl w:val="DFE4B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234FF"/>
    <w:multiLevelType w:val="hybridMultilevel"/>
    <w:tmpl w:val="34F8725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7C578FF"/>
    <w:multiLevelType w:val="hybridMultilevel"/>
    <w:tmpl w:val="32FC5F00"/>
    <w:lvl w:ilvl="0" w:tplc="BB94C0E4">
      <w:start w:val="1"/>
      <w:numFmt w:val="upperLetter"/>
      <w:lvlText w:val="%1."/>
      <w:lvlJc w:val="left"/>
      <w:pPr>
        <w:ind w:left="3330" w:hanging="360"/>
      </w:pPr>
      <w:rPr>
        <w:rFonts w:hint="default"/>
        <w:color w:val="auto"/>
      </w:rPr>
    </w:lvl>
    <w:lvl w:ilvl="1" w:tplc="9D9295EA">
      <w:start w:val="1"/>
      <w:numFmt w:val="decimal"/>
      <w:lvlText w:val="%2."/>
      <w:lvlJc w:val="left"/>
      <w:pPr>
        <w:ind w:left="1800" w:hanging="360"/>
      </w:pPr>
      <w:rPr>
        <w:rFonts w:hint="default"/>
      </w:rPr>
    </w:lvl>
    <w:lvl w:ilvl="2" w:tplc="E03ACB36">
      <w:start w:val="1"/>
      <w:numFmt w:val="decimal"/>
      <w:lvlText w:val="%3."/>
      <w:lvlJc w:val="left"/>
      <w:pPr>
        <w:ind w:left="2700" w:hanging="360"/>
      </w:pPr>
      <w:rPr>
        <w:rFonts w:hint="default"/>
        <w:b w:val="0"/>
        <w:bCs w:val="0"/>
      </w:rPr>
    </w:lvl>
    <w:lvl w:ilvl="3" w:tplc="0409000F">
      <w:start w:val="1"/>
      <w:numFmt w:val="decimal"/>
      <w:lvlText w:val="%4."/>
      <w:lvlJc w:val="left"/>
      <w:pPr>
        <w:ind w:left="3240" w:hanging="360"/>
      </w:pPr>
    </w:lvl>
    <w:lvl w:ilvl="4" w:tplc="D914807C">
      <w:start w:val="1"/>
      <w:numFmt w:val="decimal"/>
      <w:lvlText w:val="%5."/>
      <w:lvlJc w:val="left"/>
      <w:pPr>
        <w:ind w:left="3780" w:hanging="360"/>
      </w:pPr>
      <w:rPr>
        <w:rFonts w:asciiTheme="minorHAnsi" w:eastAsiaTheme="minorHAnsi" w:hAnsiTheme="minorHAnsi" w:cstheme="minorBidi"/>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7C51F0"/>
    <w:multiLevelType w:val="hybridMultilevel"/>
    <w:tmpl w:val="917E05FC"/>
    <w:lvl w:ilvl="0" w:tplc="FFFFFFFF">
      <w:start w:val="1"/>
      <w:numFmt w:val="upperLetter"/>
      <w:lvlText w:val="%1."/>
      <w:lvlJc w:val="left"/>
      <w:pPr>
        <w:ind w:left="180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04090015">
      <w:start w:val="1"/>
      <w:numFmt w:val="upperLetter"/>
      <w:lvlText w:val="%4."/>
      <w:lvlJc w:val="left"/>
      <w:pPr>
        <w:ind w:left="3240" w:hanging="360"/>
      </w:pPr>
    </w:lvl>
    <w:lvl w:ilvl="4" w:tplc="04090011">
      <w:start w:val="1"/>
      <w:numFmt w:val="decimal"/>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5FB9149E"/>
    <w:multiLevelType w:val="hybridMultilevel"/>
    <w:tmpl w:val="B3AC7724"/>
    <w:lvl w:ilvl="0" w:tplc="6AF6EB48">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0" w15:restartNumberingAfterBreak="0">
    <w:nsid w:val="62935D36"/>
    <w:multiLevelType w:val="hybridMultilevel"/>
    <w:tmpl w:val="EE062132"/>
    <w:lvl w:ilvl="0" w:tplc="84D8D32C">
      <w:start w:val="1"/>
      <w:numFmt w:val="decimal"/>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62CB63C7"/>
    <w:multiLevelType w:val="hybridMultilevel"/>
    <w:tmpl w:val="A830B2A4"/>
    <w:lvl w:ilvl="0" w:tplc="7D1E4918">
      <w:start w:val="1"/>
      <w:numFmt w:val="decimal"/>
      <w:lvlText w:val="%1)"/>
      <w:lvlJc w:val="left"/>
      <w:pPr>
        <w:ind w:left="3160" w:hanging="360"/>
      </w:pPr>
      <w:rPr>
        <w:rFonts w:hint="default"/>
      </w:rPr>
    </w:lvl>
    <w:lvl w:ilvl="1" w:tplc="04090019" w:tentative="1">
      <w:start w:val="1"/>
      <w:numFmt w:val="lowerLetter"/>
      <w:lvlText w:val="%2."/>
      <w:lvlJc w:val="left"/>
      <w:pPr>
        <w:ind w:left="3880" w:hanging="360"/>
      </w:pPr>
    </w:lvl>
    <w:lvl w:ilvl="2" w:tplc="0409001B" w:tentative="1">
      <w:start w:val="1"/>
      <w:numFmt w:val="lowerRoman"/>
      <w:lvlText w:val="%3."/>
      <w:lvlJc w:val="right"/>
      <w:pPr>
        <w:ind w:left="4600" w:hanging="180"/>
      </w:pPr>
    </w:lvl>
    <w:lvl w:ilvl="3" w:tplc="0409000F" w:tentative="1">
      <w:start w:val="1"/>
      <w:numFmt w:val="decimal"/>
      <w:lvlText w:val="%4."/>
      <w:lvlJc w:val="left"/>
      <w:pPr>
        <w:ind w:left="5320" w:hanging="360"/>
      </w:pPr>
    </w:lvl>
    <w:lvl w:ilvl="4" w:tplc="04090019" w:tentative="1">
      <w:start w:val="1"/>
      <w:numFmt w:val="lowerLetter"/>
      <w:lvlText w:val="%5."/>
      <w:lvlJc w:val="left"/>
      <w:pPr>
        <w:ind w:left="6040" w:hanging="360"/>
      </w:pPr>
    </w:lvl>
    <w:lvl w:ilvl="5" w:tplc="0409001B" w:tentative="1">
      <w:start w:val="1"/>
      <w:numFmt w:val="lowerRoman"/>
      <w:lvlText w:val="%6."/>
      <w:lvlJc w:val="right"/>
      <w:pPr>
        <w:ind w:left="6760" w:hanging="180"/>
      </w:pPr>
    </w:lvl>
    <w:lvl w:ilvl="6" w:tplc="0409000F" w:tentative="1">
      <w:start w:val="1"/>
      <w:numFmt w:val="decimal"/>
      <w:lvlText w:val="%7."/>
      <w:lvlJc w:val="left"/>
      <w:pPr>
        <w:ind w:left="7480" w:hanging="360"/>
      </w:pPr>
    </w:lvl>
    <w:lvl w:ilvl="7" w:tplc="04090019" w:tentative="1">
      <w:start w:val="1"/>
      <w:numFmt w:val="lowerLetter"/>
      <w:lvlText w:val="%8."/>
      <w:lvlJc w:val="left"/>
      <w:pPr>
        <w:ind w:left="8200" w:hanging="360"/>
      </w:pPr>
    </w:lvl>
    <w:lvl w:ilvl="8" w:tplc="0409001B" w:tentative="1">
      <w:start w:val="1"/>
      <w:numFmt w:val="lowerRoman"/>
      <w:lvlText w:val="%9."/>
      <w:lvlJc w:val="right"/>
      <w:pPr>
        <w:ind w:left="8920" w:hanging="180"/>
      </w:pPr>
    </w:lvl>
  </w:abstractNum>
  <w:abstractNum w:abstractNumId="22" w15:restartNumberingAfterBreak="0">
    <w:nsid w:val="65B52C0F"/>
    <w:multiLevelType w:val="hybridMultilevel"/>
    <w:tmpl w:val="ACD059A2"/>
    <w:lvl w:ilvl="0" w:tplc="F5B48DB0">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44846"/>
    <w:multiLevelType w:val="hybridMultilevel"/>
    <w:tmpl w:val="553AE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A7162"/>
    <w:multiLevelType w:val="multilevel"/>
    <w:tmpl w:val="05504356"/>
    <w:lvl w:ilvl="0">
      <w:start w:val="300"/>
      <w:numFmt w:val="decimal"/>
      <w:lvlText w:val="%1"/>
      <w:lvlJc w:val="left"/>
      <w:pPr>
        <w:ind w:left="1640" w:hanging="1640"/>
      </w:pPr>
      <w:rPr>
        <w:rFonts w:hint="default"/>
        <w:u w:val="none"/>
      </w:rPr>
    </w:lvl>
    <w:lvl w:ilvl="1">
      <w:start w:val="2"/>
      <w:numFmt w:val="decimalZero"/>
      <w:lvlText w:val="%1.%2"/>
      <w:lvlJc w:val="left"/>
      <w:pPr>
        <w:ind w:left="1880" w:hanging="1640"/>
      </w:pPr>
      <w:rPr>
        <w:rFonts w:hint="default"/>
        <w:u w:val="none"/>
      </w:rPr>
    </w:lvl>
    <w:lvl w:ilvl="2">
      <w:start w:val="1"/>
      <w:numFmt w:val="decimalZero"/>
      <w:lvlText w:val="%1.%2.%3"/>
      <w:lvlJc w:val="left"/>
      <w:pPr>
        <w:ind w:left="2120" w:hanging="1640"/>
      </w:pPr>
      <w:rPr>
        <w:rFonts w:hint="default"/>
        <w:u w:val="none"/>
      </w:rPr>
    </w:lvl>
    <w:lvl w:ilvl="3">
      <w:start w:val="6"/>
      <w:numFmt w:val="decimalZero"/>
      <w:lvlText w:val="%1.%2.%3.%4"/>
      <w:lvlJc w:val="left"/>
      <w:pPr>
        <w:ind w:left="2360" w:hanging="1640"/>
      </w:pPr>
      <w:rPr>
        <w:rFonts w:hint="default"/>
        <w:u w:val="none"/>
      </w:rPr>
    </w:lvl>
    <w:lvl w:ilvl="4">
      <w:start w:val="1"/>
      <w:numFmt w:val="decimal"/>
      <w:lvlText w:val="%1.%2.%3.%4.%5"/>
      <w:lvlJc w:val="left"/>
      <w:pPr>
        <w:ind w:left="2600" w:hanging="1640"/>
      </w:pPr>
      <w:rPr>
        <w:rFonts w:hint="default"/>
        <w:u w:val="none"/>
      </w:rPr>
    </w:lvl>
    <w:lvl w:ilvl="5">
      <w:start w:val="1"/>
      <w:numFmt w:val="decimal"/>
      <w:lvlText w:val="%1.%2.%3.%4.%5.%6"/>
      <w:lvlJc w:val="left"/>
      <w:pPr>
        <w:ind w:left="2840" w:hanging="1640"/>
      </w:pPr>
      <w:rPr>
        <w:rFonts w:hint="default"/>
        <w:u w:val="none"/>
      </w:rPr>
    </w:lvl>
    <w:lvl w:ilvl="6">
      <w:start w:val="1"/>
      <w:numFmt w:val="decimal"/>
      <w:lvlText w:val="%1.%2.%3.%4.%5.%6.%7"/>
      <w:lvlJc w:val="left"/>
      <w:pPr>
        <w:ind w:left="3080" w:hanging="1640"/>
      </w:pPr>
      <w:rPr>
        <w:rFonts w:hint="default"/>
        <w:u w:val="none"/>
      </w:rPr>
    </w:lvl>
    <w:lvl w:ilvl="7">
      <w:start w:val="1"/>
      <w:numFmt w:val="decimal"/>
      <w:lvlText w:val="%1.%2.%3.%4.%5.%6.%7.%8"/>
      <w:lvlJc w:val="left"/>
      <w:pPr>
        <w:ind w:left="3320" w:hanging="1640"/>
      </w:pPr>
      <w:rPr>
        <w:rFonts w:hint="default"/>
        <w:u w:val="none"/>
      </w:rPr>
    </w:lvl>
    <w:lvl w:ilvl="8">
      <w:start w:val="1"/>
      <w:numFmt w:val="decimal"/>
      <w:lvlText w:val="%1.%2.%3.%4.%5.%6.%7.%8.%9"/>
      <w:lvlJc w:val="left"/>
      <w:pPr>
        <w:ind w:left="3720" w:hanging="1800"/>
      </w:pPr>
      <w:rPr>
        <w:rFonts w:hint="default"/>
        <w:u w:val="none"/>
      </w:rPr>
    </w:lvl>
  </w:abstractNum>
  <w:abstractNum w:abstractNumId="25" w15:restartNumberingAfterBreak="0">
    <w:nsid w:val="72D10D3B"/>
    <w:multiLevelType w:val="hybridMultilevel"/>
    <w:tmpl w:val="1092F7B2"/>
    <w:lvl w:ilvl="0" w:tplc="0A14FD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19821336">
    <w:abstractNumId w:val="0"/>
  </w:num>
  <w:num w:numId="2" w16cid:durableId="734476377">
    <w:abstractNumId w:val="17"/>
  </w:num>
  <w:num w:numId="3" w16cid:durableId="1535575082">
    <w:abstractNumId w:val="4"/>
  </w:num>
  <w:num w:numId="4" w16cid:durableId="369651999">
    <w:abstractNumId w:val="5"/>
  </w:num>
  <w:num w:numId="5" w16cid:durableId="630866601">
    <w:abstractNumId w:val="18"/>
  </w:num>
  <w:num w:numId="6" w16cid:durableId="198203904">
    <w:abstractNumId w:val="25"/>
  </w:num>
  <w:num w:numId="7" w16cid:durableId="2110923889">
    <w:abstractNumId w:val="19"/>
  </w:num>
  <w:num w:numId="8" w16cid:durableId="597830990">
    <w:abstractNumId w:val="21"/>
  </w:num>
  <w:num w:numId="9" w16cid:durableId="8529627">
    <w:abstractNumId w:val="3"/>
  </w:num>
  <w:num w:numId="10" w16cid:durableId="1054964816">
    <w:abstractNumId w:val="2"/>
  </w:num>
  <w:num w:numId="11" w16cid:durableId="26565883">
    <w:abstractNumId w:val="15"/>
  </w:num>
  <w:num w:numId="12" w16cid:durableId="1981840620">
    <w:abstractNumId w:val="10"/>
  </w:num>
  <w:num w:numId="13" w16cid:durableId="828208444">
    <w:abstractNumId w:val="13"/>
  </w:num>
  <w:num w:numId="14" w16cid:durableId="255554707">
    <w:abstractNumId w:val="11"/>
  </w:num>
  <w:num w:numId="15" w16cid:durableId="1061440378">
    <w:abstractNumId w:val="12"/>
  </w:num>
  <w:num w:numId="16" w16cid:durableId="1544363339">
    <w:abstractNumId w:val="9"/>
  </w:num>
  <w:num w:numId="17" w16cid:durableId="957444000">
    <w:abstractNumId w:val="7"/>
  </w:num>
  <w:num w:numId="18" w16cid:durableId="1331906959">
    <w:abstractNumId w:val="22"/>
  </w:num>
  <w:num w:numId="19" w16cid:durableId="1546060508">
    <w:abstractNumId w:val="16"/>
  </w:num>
  <w:num w:numId="20" w16cid:durableId="827358050">
    <w:abstractNumId w:val="6"/>
  </w:num>
  <w:num w:numId="21" w16cid:durableId="1575161925">
    <w:abstractNumId w:val="14"/>
  </w:num>
  <w:num w:numId="22" w16cid:durableId="702442808">
    <w:abstractNumId w:val="20"/>
  </w:num>
  <w:num w:numId="23" w16cid:durableId="1057708292">
    <w:abstractNumId w:val="1"/>
  </w:num>
  <w:num w:numId="24" w16cid:durableId="276370794">
    <w:abstractNumId w:val="23"/>
  </w:num>
  <w:num w:numId="25" w16cid:durableId="1720782584">
    <w:abstractNumId w:val="24"/>
  </w:num>
  <w:num w:numId="26" w16cid:durableId="261576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BE"/>
    <w:rsid w:val="00000209"/>
    <w:rsid w:val="00000C74"/>
    <w:rsid w:val="000657FF"/>
    <w:rsid w:val="00082210"/>
    <w:rsid w:val="000915F7"/>
    <w:rsid w:val="000A002F"/>
    <w:rsid w:val="000B2981"/>
    <w:rsid w:val="001112F6"/>
    <w:rsid w:val="00114B5E"/>
    <w:rsid w:val="00164925"/>
    <w:rsid w:val="0016609E"/>
    <w:rsid w:val="001762C6"/>
    <w:rsid w:val="00196FEA"/>
    <w:rsid w:val="001A4233"/>
    <w:rsid w:val="001A6685"/>
    <w:rsid w:val="001B2A5B"/>
    <w:rsid w:val="001B69FA"/>
    <w:rsid w:val="001E23C3"/>
    <w:rsid w:val="001F656C"/>
    <w:rsid w:val="0021333F"/>
    <w:rsid w:val="00213CA2"/>
    <w:rsid w:val="002153AE"/>
    <w:rsid w:val="0024357E"/>
    <w:rsid w:val="00271D6A"/>
    <w:rsid w:val="0029463D"/>
    <w:rsid w:val="002A5422"/>
    <w:rsid w:val="002C4F97"/>
    <w:rsid w:val="002C716A"/>
    <w:rsid w:val="002E65C6"/>
    <w:rsid w:val="002F7FCF"/>
    <w:rsid w:val="00305911"/>
    <w:rsid w:val="00314CDF"/>
    <w:rsid w:val="003175B3"/>
    <w:rsid w:val="0032287B"/>
    <w:rsid w:val="00334645"/>
    <w:rsid w:val="00384080"/>
    <w:rsid w:val="003855C1"/>
    <w:rsid w:val="003A3323"/>
    <w:rsid w:val="003A46CA"/>
    <w:rsid w:val="003D1082"/>
    <w:rsid w:val="003D1731"/>
    <w:rsid w:val="003E2151"/>
    <w:rsid w:val="0041359A"/>
    <w:rsid w:val="00427011"/>
    <w:rsid w:val="00447D05"/>
    <w:rsid w:val="00455CFE"/>
    <w:rsid w:val="004768D3"/>
    <w:rsid w:val="004939A7"/>
    <w:rsid w:val="004A46D5"/>
    <w:rsid w:val="004D1D7F"/>
    <w:rsid w:val="004D4F18"/>
    <w:rsid w:val="004E63D4"/>
    <w:rsid w:val="004E6BE7"/>
    <w:rsid w:val="004F5915"/>
    <w:rsid w:val="0052485F"/>
    <w:rsid w:val="00533317"/>
    <w:rsid w:val="00537079"/>
    <w:rsid w:val="00573491"/>
    <w:rsid w:val="0058266A"/>
    <w:rsid w:val="00643752"/>
    <w:rsid w:val="006639BE"/>
    <w:rsid w:val="00667567"/>
    <w:rsid w:val="00680F14"/>
    <w:rsid w:val="0068139E"/>
    <w:rsid w:val="00684A36"/>
    <w:rsid w:val="006A1117"/>
    <w:rsid w:val="006A63F8"/>
    <w:rsid w:val="006B4EAA"/>
    <w:rsid w:val="006C4D85"/>
    <w:rsid w:val="006E29BD"/>
    <w:rsid w:val="00703C8D"/>
    <w:rsid w:val="0071753A"/>
    <w:rsid w:val="00721959"/>
    <w:rsid w:val="007324BE"/>
    <w:rsid w:val="007406C3"/>
    <w:rsid w:val="00742C66"/>
    <w:rsid w:val="00744FE6"/>
    <w:rsid w:val="0074578D"/>
    <w:rsid w:val="00784C84"/>
    <w:rsid w:val="00791BC3"/>
    <w:rsid w:val="00795774"/>
    <w:rsid w:val="007A2E4D"/>
    <w:rsid w:val="007B387B"/>
    <w:rsid w:val="007E1932"/>
    <w:rsid w:val="007F5432"/>
    <w:rsid w:val="007F61D3"/>
    <w:rsid w:val="00803BA5"/>
    <w:rsid w:val="00826867"/>
    <w:rsid w:val="0083771E"/>
    <w:rsid w:val="00855328"/>
    <w:rsid w:val="00855E07"/>
    <w:rsid w:val="008A1733"/>
    <w:rsid w:val="008B2630"/>
    <w:rsid w:val="008B2956"/>
    <w:rsid w:val="008D4352"/>
    <w:rsid w:val="008D5047"/>
    <w:rsid w:val="008F231B"/>
    <w:rsid w:val="00914263"/>
    <w:rsid w:val="0091655A"/>
    <w:rsid w:val="00923247"/>
    <w:rsid w:val="009438A8"/>
    <w:rsid w:val="00977F0C"/>
    <w:rsid w:val="009815A5"/>
    <w:rsid w:val="00994BD9"/>
    <w:rsid w:val="009B25F7"/>
    <w:rsid w:val="009C6023"/>
    <w:rsid w:val="009C6B35"/>
    <w:rsid w:val="00A03B68"/>
    <w:rsid w:val="00A10E9C"/>
    <w:rsid w:val="00A32B18"/>
    <w:rsid w:val="00A47F76"/>
    <w:rsid w:val="00A53BF8"/>
    <w:rsid w:val="00A53F96"/>
    <w:rsid w:val="00A6701E"/>
    <w:rsid w:val="00AA5E7A"/>
    <w:rsid w:val="00AE0E09"/>
    <w:rsid w:val="00AE79A6"/>
    <w:rsid w:val="00AF1741"/>
    <w:rsid w:val="00B33779"/>
    <w:rsid w:val="00B37D7A"/>
    <w:rsid w:val="00B404D1"/>
    <w:rsid w:val="00B47DDC"/>
    <w:rsid w:val="00B5471C"/>
    <w:rsid w:val="00B82D1F"/>
    <w:rsid w:val="00B8616B"/>
    <w:rsid w:val="00B87888"/>
    <w:rsid w:val="00BA63F2"/>
    <w:rsid w:val="00BB289D"/>
    <w:rsid w:val="00BD08C8"/>
    <w:rsid w:val="00C20B14"/>
    <w:rsid w:val="00C42C6F"/>
    <w:rsid w:val="00C45C5D"/>
    <w:rsid w:val="00C47BD7"/>
    <w:rsid w:val="00C628FD"/>
    <w:rsid w:val="00C74A37"/>
    <w:rsid w:val="00C76D5A"/>
    <w:rsid w:val="00C92F3A"/>
    <w:rsid w:val="00C95EE3"/>
    <w:rsid w:val="00CA584A"/>
    <w:rsid w:val="00CC07CC"/>
    <w:rsid w:val="00CF140C"/>
    <w:rsid w:val="00D02E4F"/>
    <w:rsid w:val="00D037BD"/>
    <w:rsid w:val="00D33B89"/>
    <w:rsid w:val="00D46B29"/>
    <w:rsid w:val="00D7137A"/>
    <w:rsid w:val="00D85E77"/>
    <w:rsid w:val="00DB5F5D"/>
    <w:rsid w:val="00DD0078"/>
    <w:rsid w:val="00DF5E01"/>
    <w:rsid w:val="00E05644"/>
    <w:rsid w:val="00E4187D"/>
    <w:rsid w:val="00E52390"/>
    <w:rsid w:val="00E56557"/>
    <w:rsid w:val="00E90B73"/>
    <w:rsid w:val="00E910AE"/>
    <w:rsid w:val="00EA5540"/>
    <w:rsid w:val="00EF1A16"/>
    <w:rsid w:val="00F16224"/>
    <w:rsid w:val="00F413AB"/>
    <w:rsid w:val="00F41483"/>
    <w:rsid w:val="00F478D1"/>
    <w:rsid w:val="00F62355"/>
    <w:rsid w:val="00F72D04"/>
    <w:rsid w:val="00F91065"/>
    <w:rsid w:val="00F95F87"/>
    <w:rsid w:val="00FB4028"/>
    <w:rsid w:val="00FF3754"/>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48F4"/>
  <w15:chartTrackingRefBased/>
  <w15:docId w15:val="{5E4CBAE7-4D4C-44B5-B210-806C62CD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BE"/>
  </w:style>
  <w:style w:type="paragraph" w:styleId="Heading1">
    <w:name w:val="heading 1"/>
    <w:basedOn w:val="Normal"/>
    <w:next w:val="Normal"/>
    <w:link w:val="Heading1Char"/>
    <w:uiPriority w:val="9"/>
    <w:qFormat/>
    <w:rsid w:val="00732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4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BE"/>
    <w:rPr>
      <w:rFonts w:eastAsiaTheme="majorEastAsia" w:cstheme="majorBidi"/>
      <w:color w:val="272727" w:themeColor="text1" w:themeTint="D8"/>
    </w:rPr>
  </w:style>
  <w:style w:type="paragraph" w:styleId="Title">
    <w:name w:val="Title"/>
    <w:basedOn w:val="Normal"/>
    <w:next w:val="Normal"/>
    <w:link w:val="TitleChar"/>
    <w:uiPriority w:val="10"/>
    <w:qFormat/>
    <w:rsid w:val="007324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4BE"/>
    <w:rPr>
      <w:i/>
      <w:iCs/>
      <w:color w:val="404040" w:themeColor="text1" w:themeTint="BF"/>
    </w:rPr>
  </w:style>
  <w:style w:type="paragraph" w:styleId="ListParagraph">
    <w:name w:val="List Paragraph"/>
    <w:basedOn w:val="Normal"/>
    <w:uiPriority w:val="34"/>
    <w:qFormat/>
    <w:rsid w:val="007324BE"/>
    <w:pPr>
      <w:ind w:left="720"/>
      <w:contextualSpacing/>
    </w:pPr>
  </w:style>
  <w:style w:type="character" w:styleId="IntenseEmphasis">
    <w:name w:val="Intense Emphasis"/>
    <w:basedOn w:val="DefaultParagraphFont"/>
    <w:uiPriority w:val="21"/>
    <w:qFormat/>
    <w:rsid w:val="007324BE"/>
    <w:rPr>
      <w:i/>
      <w:iCs/>
      <w:color w:val="2F5496" w:themeColor="accent1" w:themeShade="BF"/>
    </w:rPr>
  </w:style>
  <w:style w:type="paragraph" w:styleId="IntenseQuote">
    <w:name w:val="Intense Quote"/>
    <w:basedOn w:val="Normal"/>
    <w:next w:val="Normal"/>
    <w:link w:val="IntenseQuoteChar"/>
    <w:uiPriority w:val="30"/>
    <w:qFormat/>
    <w:rsid w:val="00732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4BE"/>
    <w:rPr>
      <w:i/>
      <w:iCs/>
      <w:color w:val="2F5496" w:themeColor="accent1" w:themeShade="BF"/>
    </w:rPr>
  </w:style>
  <w:style w:type="character" w:styleId="IntenseReference">
    <w:name w:val="Intense Reference"/>
    <w:basedOn w:val="DefaultParagraphFont"/>
    <w:uiPriority w:val="32"/>
    <w:qFormat/>
    <w:rsid w:val="007324BE"/>
    <w:rPr>
      <w:b/>
      <w:bCs/>
      <w:smallCaps/>
      <w:color w:val="2F5496" w:themeColor="accent1" w:themeShade="BF"/>
      <w:spacing w:val="5"/>
    </w:rPr>
  </w:style>
  <w:style w:type="table" w:styleId="TableGrid">
    <w:name w:val="Table Grid"/>
    <w:basedOn w:val="TableNormal"/>
    <w:uiPriority w:val="39"/>
    <w:rsid w:val="0073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EE3"/>
    <w:rPr>
      <w:sz w:val="16"/>
      <w:szCs w:val="16"/>
    </w:rPr>
  </w:style>
  <w:style w:type="paragraph" w:styleId="CommentText">
    <w:name w:val="annotation text"/>
    <w:basedOn w:val="Normal"/>
    <w:link w:val="CommentTextChar"/>
    <w:uiPriority w:val="99"/>
    <w:semiHidden/>
    <w:unhideWhenUsed/>
    <w:rsid w:val="00C95EE3"/>
    <w:rPr>
      <w:sz w:val="20"/>
      <w:szCs w:val="20"/>
    </w:rPr>
  </w:style>
  <w:style w:type="character" w:customStyle="1" w:styleId="CommentTextChar">
    <w:name w:val="Comment Text Char"/>
    <w:basedOn w:val="DefaultParagraphFont"/>
    <w:link w:val="CommentText"/>
    <w:uiPriority w:val="99"/>
    <w:semiHidden/>
    <w:rsid w:val="00C95EE3"/>
    <w:rPr>
      <w:sz w:val="20"/>
      <w:szCs w:val="20"/>
    </w:rPr>
  </w:style>
  <w:style w:type="paragraph" w:styleId="CommentSubject">
    <w:name w:val="annotation subject"/>
    <w:basedOn w:val="CommentText"/>
    <w:next w:val="CommentText"/>
    <w:link w:val="CommentSubjectChar"/>
    <w:uiPriority w:val="99"/>
    <w:semiHidden/>
    <w:unhideWhenUsed/>
    <w:rsid w:val="00C95EE3"/>
    <w:rPr>
      <w:b/>
      <w:bCs/>
    </w:rPr>
  </w:style>
  <w:style w:type="character" w:customStyle="1" w:styleId="CommentSubjectChar">
    <w:name w:val="Comment Subject Char"/>
    <w:basedOn w:val="CommentTextChar"/>
    <w:link w:val="CommentSubject"/>
    <w:uiPriority w:val="99"/>
    <w:semiHidden/>
    <w:rsid w:val="00C95EE3"/>
    <w:rPr>
      <w:b/>
      <w:bCs/>
      <w:sz w:val="20"/>
      <w:szCs w:val="20"/>
    </w:rPr>
  </w:style>
  <w:style w:type="paragraph" w:styleId="Revision">
    <w:name w:val="Revision"/>
    <w:hidden/>
    <w:uiPriority w:val="99"/>
    <w:semiHidden/>
    <w:rsid w:val="004E6BE7"/>
  </w:style>
  <w:style w:type="paragraph" w:styleId="Header">
    <w:name w:val="header"/>
    <w:basedOn w:val="Normal"/>
    <w:link w:val="HeaderChar"/>
    <w:uiPriority w:val="99"/>
    <w:unhideWhenUsed/>
    <w:rsid w:val="00F16224"/>
    <w:pPr>
      <w:tabs>
        <w:tab w:val="center" w:pos="4680"/>
        <w:tab w:val="right" w:pos="9360"/>
      </w:tabs>
    </w:pPr>
  </w:style>
  <w:style w:type="character" w:customStyle="1" w:styleId="HeaderChar">
    <w:name w:val="Header Char"/>
    <w:basedOn w:val="DefaultParagraphFont"/>
    <w:link w:val="Header"/>
    <w:uiPriority w:val="99"/>
    <w:rsid w:val="00F16224"/>
  </w:style>
  <w:style w:type="paragraph" w:styleId="Footer">
    <w:name w:val="footer"/>
    <w:basedOn w:val="Normal"/>
    <w:link w:val="FooterChar"/>
    <w:uiPriority w:val="99"/>
    <w:unhideWhenUsed/>
    <w:rsid w:val="00F16224"/>
    <w:pPr>
      <w:tabs>
        <w:tab w:val="center" w:pos="4680"/>
        <w:tab w:val="right" w:pos="9360"/>
      </w:tabs>
    </w:pPr>
  </w:style>
  <w:style w:type="character" w:customStyle="1" w:styleId="FooterChar">
    <w:name w:val="Footer Char"/>
    <w:basedOn w:val="DefaultParagraphFont"/>
    <w:link w:val="Footer"/>
    <w:uiPriority w:val="99"/>
    <w:rsid w:val="00F16224"/>
  </w:style>
  <w:style w:type="paragraph" w:styleId="NormalWeb">
    <w:name w:val="Normal (Web)"/>
    <w:basedOn w:val="Normal"/>
    <w:uiPriority w:val="99"/>
    <w:semiHidden/>
    <w:unhideWhenUsed/>
    <w:rsid w:val="00FF5860"/>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A32B1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32B18"/>
  </w:style>
  <w:style w:type="character" w:customStyle="1" w:styleId="eop">
    <w:name w:val="eop"/>
    <w:basedOn w:val="DefaultParagraphFont"/>
    <w:rsid w:val="00A32B18"/>
  </w:style>
  <w:style w:type="character" w:customStyle="1" w:styleId="apple-converted-space">
    <w:name w:val="apple-converted-space"/>
    <w:basedOn w:val="DefaultParagraphFont"/>
    <w:rsid w:val="00A3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2B86-7C81-4E7F-87BF-00921A08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Kennedy</cp:lastModifiedBy>
  <cp:revision>35</cp:revision>
  <cp:lastPrinted>2026-03-04T17:24:00Z</cp:lastPrinted>
  <dcterms:created xsi:type="dcterms:W3CDTF">2026-01-19T14:43:00Z</dcterms:created>
  <dcterms:modified xsi:type="dcterms:W3CDTF">2026-03-04T18:41:00Z</dcterms:modified>
  <cp:category/>
</cp:coreProperties>
</file>