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color w:val="328D9F" w:themeColor="accent1" w:themeShade="BF"/>
          <w:spacing w:val="10"/>
        </w:rPr>
        <w:id w:val="1244837875"/>
        <w:docPartObj>
          <w:docPartGallery w:val="Watermarks"/>
          <w:docPartUnique/>
        </w:docPartObj>
      </w:sdtPr>
      <w:sdtEndPr>
        <w:rPr>
          <w:caps w:val="0"/>
          <w:color w:val="auto"/>
          <w:spacing w:val="0"/>
        </w:rPr>
      </w:sdtEndPr>
      <w:sdtContent>
        <w:p w14:paraId="37E818DF" w14:textId="2CBF49CD" w:rsidR="007B66EB" w:rsidRPr="00F477DD" w:rsidRDefault="007B66EB" w:rsidP="00F477DD">
          <w:pPr>
            <w:rPr>
              <w:caps/>
              <w:color w:val="50B4C8" w:themeColor="accent1"/>
              <w:spacing w:val="10"/>
              <w:sz w:val="52"/>
              <w:szCs w:val="52"/>
            </w:rPr>
          </w:pPr>
          <w:r w:rsidRPr="1A2EAF68">
            <w:rPr>
              <w:rStyle w:val="TitleChar"/>
            </w:rPr>
            <w:t xml:space="preserve">Brentwood </w:t>
          </w:r>
          <w:r w:rsidR="00B66524" w:rsidRPr="1A2EAF68">
            <w:rPr>
              <w:rStyle w:val="TitleChar"/>
            </w:rPr>
            <w:t>Housing</w:t>
          </w:r>
          <w:r w:rsidRPr="1A2EAF68">
            <w:rPr>
              <w:rStyle w:val="TitleChar"/>
            </w:rPr>
            <w:t xml:space="preserve"> Chapter</w:t>
          </w:r>
        </w:p>
      </w:sdtContent>
    </w:sdt>
    <w:p w14:paraId="05AFF34D" w14:textId="0BE0FB4D" w:rsidR="005B5948" w:rsidRPr="00D86270" w:rsidRDefault="4B04FF51" w:rsidP="35A9D9A4">
      <w:pPr>
        <w:pStyle w:val="Heading1"/>
      </w:pPr>
      <w:r w:rsidRPr="35A9D9A4">
        <w:t>I</w:t>
      </w:r>
      <w:r w:rsidR="00630D46" w:rsidRPr="35A9D9A4">
        <w:t>ntroduction</w:t>
      </w:r>
    </w:p>
    <w:p w14:paraId="7216CBF9" w14:textId="77777777" w:rsidR="001B7AB4" w:rsidRDefault="00940C1E" w:rsidP="35A9D9A4">
      <w:r>
        <w:t xml:space="preserve">Brentwood is a </w:t>
      </w:r>
      <w:r w:rsidR="00A3138F">
        <w:t xml:space="preserve">small town in </w:t>
      </w:r>
      <w:r w:rsidR="001436B3">
        <w:t xml:space="preserve">New Hampshire’s </w:t>
      </w:r>
      <w:r w:rsidR="00A3138F">
        <w:t>seacoast region</w:t>
      </w:r>
      <w:r w:rsidR="001436B3">
        <w:t xml:space="preserve"> with a population of approximately 4,700 residents and a population density of about 270 people per square mile. The county seat of Rockingham County, Brentwood lies</w:t>
      </w:r>
      <w:r w:rsidR="001436B3" w:rsidRPr="00A3138F">
        <w:t xml:space="preserve"> about </w:t>
      </w:r>
      <w:r w:rsidR="001B7AB4">
        <w:t>17</w:t>
      </w:r>
      <w:r w:rsidR="001436B3">
        <w:t xml:space="preserve"> miles from the </w:t>
      </w:r>
      <w:r w:rsidR="001B7AB4">
        <w:t xml:space="preserve">Atlantic </w:t>
      </w:r>
      <w:r w:rsidR="001436B3">
        <w:t xml:space="preserve">coast, </w:t>
      </w:r>
      <w:r w:rsidR="001B7AB4">
        <w:t>70</w:t>
      </w:r>
      <w:r w:rsidR="001436B3" w:rsidRPr="00A3138F">
        <w:t xml:space="preserve"> miles from Portland, Maine and 50 miles from Boston, Massachusetts.</w:t>
      </w:r>
      <w:r w:rsidR="001436B3">
        <w:t xml:space="preserve"> The Town boasts many natural features that support its rural character.</w:t>
      </w:r>
      <w:r w:rsidR="001B7AB4">
        <w:t xml:space="preserve"> </w:t>
      </w:r>
    </w:p>
    <w:p w14:paraId="0B88D941" w14:textId="453DC239" w:rsidR="00940C1E" w:rsidRDefault="001436B3" w:rsidP="001B7AB4">
      <w:r>
        <w:t xml:space="preserve">Housing in Brentwood consists primarily of single-family homes </w:t>
      </w:r>
      <w:r w:rsidR="001B7AB4">
        <w:t>in subdivisions and along state and historic, scenic r</w:t>
      </w:r>
      <w:r>
        <w:t>oads</w:t>
      </w:r>
      <w:r w:rsidR="001B7AB4">
        <w:t xml:space="preserve">. The Town has experienced some housing development during the last two decades, but not enough housing production to keep pace with demand. </w:t>
      </w:r>
      <w:r w:rsidR="00E47E9B">
        <w:t xml:space="preserve">With a vacancy rate of less than 2% in 2020, housing </w:t>
      </w:r>
      <w:r w:rsidR="00DC0637">
        <w:t>availability is at an all</w:t>
      </w:r>
      <w:r w:rsidR="00E47E9B">
        <w:t>-</w:t>
      </w:r>
      <w:r w:rsidR="00DC0637">
        <w:t>time low</w:t>
      </w:r>
      <w:r w:rsidR="00E47E9B">
        <w:t>,</w:t>
      </w:r>
      <w:r w:rsidR="00FE3F7B">
        <w:t xml:space="preserve"> </w:t>
      </w:r>
      <w:r w:rsidR="00FE79EE">
        <w:t xml:space="preserve">which </w:t>
      </w:r>
      <w:r w:rsidR="00472DFA">
        <w:t xml:space="preserve">has and will continue to </w:t>
      </w:r>
      <w:r w:rsidR="00FE79EE">
        <w:t>cause prices to rise.</w:t>
      </w:r>
    </w:p>
    <w:p w14:paraId="1CF906C2" w14:textId="4AC27E85" w:rsidR="001B7AB4" w:rsidRDefault="008B1A96" w:rsidP="008B1A96">
      <w:r>
        <w:t xml:space="preserve">Brentwood is not the only community to be feeling the effects of limited housing availability. </w:t>
      </w:r>
      <w:r w:rsidRPr="008B1A96">
        <w:t>A decline in housing production over recent years coupled with changing demographics and economic trends have caused a housing shortage that is being experienced across geographic locations, income ranges, and ages. New Hampshire has not been immune to these shifts. Statewide the population is aging and growing, the average household size is declining, and the number of available homes is not sufficient to meet the current or future demand.</w:t>
      </w:r>
      <w:r w:rsidR="001B7AB4">
        <w:t xml:space="preserve"> While there is a need for h</w:t>
      </w:r>
      <w:r w:rsidR="00FE79EE">
        <w:t>ousing producti</w:t>
      </w:r>
      <w:r w:rsidR="00BF6CEA">
        <w:t>on</w:t>
      </w:r>
      <w:r w:rsidR="001B7AB4">
        <w:t xml:space="preserve">, it must </w:t>
      </w:r>
      <w:r w:rsidR="00FE79EE">
        <w:t xml:space="preserve">occur in a </w:t>
      </w:r>
      <w:r w:rsidR="0023048A">
        <w:t>way that preserves Brentwood’s character</w:t>
      </w:r>
      <w:r w:rsidR="001B7AB4">
        <w:t xml:space="preserve">, protects </w:t>
      </w:r>
      <w:r w:rsidR="0023048A">
        <w:t xml:space="preserve">local natural resources, </w:t>
      </w:r>
      <w:r w:rsidR="001C5D04">
        <w:t>meets people’s needs, and complies with New Hampshire’s laws</w:t>
      </w:r>
      <w:r w:rsidR="0014155D">
        <w:t xml:space="preserve">. </w:t>
      </w:r>
    </w:p>
    <w:p w14:paraId="7E1B3B2A" w14:textId="1D582306" w:rsidR="00F477DD" w:rsidRDefault="00F477DD" w:rsidP="008B1A96">
      <w:r>
        <w:t xml:space="preserve">Brentwood’s past housing development and planning efforts </w:t>
      </w:r>
      <w:r w:rsidR="001B2710">
        <w:t>have been</w:t>
      </w:r>
      <w:r>
        <w:t xml:space="preserve"> largely reactionary. In the mid 2000’s there was a remarkably sustained amount of housing development. In response to this, Brentwood </w:t>
      </w:r>
      <w:r w:rsidR="001B2710">
        <w:t>amended</w:t>
      </w:r>
      <w:r>
        <w:t xml:space="preserve"> its zoning ordinances to help preserve open space. In 2003, the Town implemented an age-restricted (55+) housing ordinance that allowed for increased density. The ordinance was voted out by residents in 2022 after a large development proposal on the Exeter River generated opposition. Town residents also voted that year for a new bond to protect open space. Current Town regulations </w:t>
      </w:r>
      <w:r w:rsidR="001B2710">
        <w:t xml:space="preserve">include a limited multi-family district. </w:t>
      </w:r>
    </w:p>
    <w:p w14:paraId="64BD217C" w14:textId="1CDA8F52" w:rsidR="00D02DC2" w:rsidRDefault="00576B9D" w:rsidP="008B1A96">
      <w:r>
        <w:t xml:space="preserve">The Brentwood Housing Master Plan chapter </w:t>
      </w:r>
      <w:r w:rsidR="00D02DC2">
        <w:t xml:space="preserve">begins </w:t>
      </w:r>
      <w:r w:rsidR="00F477DD">
        <w:t>with</w:t>
      </w:r>
      <w:r w:rsidR="00D02DC2">
        <w:t xml:space="preserve"> an overview of local, regional, and national factors influencing housing, including demographics. Next, it </w:t>
      </w:r>
      <w:r w:rsidR="001C5D04">
        <w:t>uses</w:t>
      </w:r>
      <w:r w:rsidR="008B1A96">
        <w:t xml:space="preserve"> Rockingham Planning Commission’s </w:t>
      </w:r>
      <w:r w:rsidR="001B7AB4">
        <w:t xml:space="preserve">(RPC) </w:t>
      </w:r>
      <w:r w:rsidR="008B1A96">
        <w:t xml:space="preserve">Regional Housing Needs Assessment </w:t>
      </w:r>
      <w:r w:rsidR="007057C8">
        <w:t xml:space="preserve">(RHNA) </w:t>
      </w:r>
      <w:r w:rsidR="008B1A96">
        <w:t>(2023) to provide current data on housing characteristics in Brentwood</w:t>
      </w:r>
      <w:r w:rsidR="001B7AB4">
        <w:t>,</w:t>
      </w:r>
      <w:r w:rsidR="008B1A96">
        <w:t xml:space="preserve"> the RPC region</w:t>
      </w:r>
      <w:r w:rsidR="001B7AB4">
        <w:t>,</w:t>
      </w:r>
      <w:r w:rsidR="008B1A96">
        <w:t xml:space="preserve"> and the </w:t>
      </w:r>
      <w:r>
        <w:t>S</w:t>
      </w:r>
      <w:r w:rsidR="008B1A96">
        <w:t xml:space="preserve">tate of New Hampshire. This chapter also discusses housing as it relates to NH RSA 674:58-61, which requires municipalities to provide reasonable and realistic opportunities for workforce and affordable housing. </w:t>
      </w:r>
      <w:r w:rsidR="00D02DC2">
        <w:t xml:space="preserve">It includes an overview of key considerations and implications for improving housing development opportunities in town to meet the needs of current and future residents, while preserving natural resources and preventing strain on municipal resources. </w:t>
      </w:r>
      <w:r>
        <w:t xml:space="preserve">Finally, </w:t>
      </w:r>
      <w:r w:rsidR="00D02DC2">
        <w:t xml:space="preserve">the chapter concludes with goals and proposed actions to move meaningful </w:t>
      </w:r>
      <w:r w:rsidR="00D02DC2">
        <w:lastRenderedPageBreak/>
        <w:t xml:space="preserve">housing-related initiatives forward. </w:t>
      </w:r>
      <w:r w:rsidR="00EA6C3A">
        <w:t>Supplementary</w:t>
      </w:r>
      <w:r w:rsidR="00D02DC2">
        <w:t xml:space="preserve"> documents include a summary of </w:t>
      </w:r>
      <w:r w:rsidR="008B1A96">
        <w:t>public input on housing from the 2023 Brentwood Visual Preference Survey and public engagement sessions</w:t>
      </w:r>
      <w:r w:rsidR="00EA6C3A">
        <w:t xml:space="preserve"> and a </w:t>
      </w:r>
      <w:r w:rsidR="00EF1E9A">
        <w:t xml:space="preserve">land use regulation audit is underway. </w:t>
      </w:r>
    </w:p>
    <w:p w14:paraId="54AB637C" w14:textId="43ED2BE0" w:rsidR="3D007277" w:rsidRDefault="001B2710" w:rsidP="001B2710">
      <w:pPr>
        <w:pStyle w:val="Heading1"/>
      </w:pPr>
      <w:r>
        <w:t>Factors influencing housing</w:t>
      </w:r>
      <w:r w:rsidR="00182BAC" w:rsidRPr="2CAFF9FD">
        <w:t>: Brentwood, RPC Region and New Hampshire</w:t>
      </w:r>
    </w:p>
    <w:p w14:paraId="42A2C192" w14:textId="77777777" w:rsidR="001B2710" w:rsidRDefault="001B2710" w:rsidP="001B2710">
      <w:pPr>
        <w:pStyle w:val="Heading2"/>
      </w:pPr>
      <w:r>
        <w:t>Population</w:t>
      </w:r>
    </w:p>
    <w:p w14:paraId="4099EFB8" w14:textId="4128A1AB" w:rsidR="35A9D9A4" w:rsidRDefault="4D1AFFB1" w:rsidP="2ED66381">
      <w:pPr>
        <w:jc w:val="both"/>
        <w:rPr>
          <w:highlight w:val="yellow"/>
        </w:rPr>
      </w:pPr>
      <w:r w:rsidRPr="2ED66381">
        <w:t>The NH Office of Planning and Development has produced population projections for municipalities in New Hampshire through 20</w:t>
      </w:r>
      <w:r w:rsidR="6C13024D" w:rsidRPr="2ED66381">
        <w:t>5</w:t>
      </w:r>
      <w:r w:rsidRPr="2ED66381">
        <w:t xml:space="preserve">0. The model projects a population for each community based on past and current age and gender distributions, expected birth and death rates, as well as expected in and out migration. As shown in the following graph and figures, the population projections for Brentwood and the larger community slow within the next decade and by 2040 remain relatively stable. Brentwood’s population is projected to increase by </w:t>
      </w:r>
      <w:r w:rsidR="3E84FB35" w:rsidRPr="2ED66381">
        <w:t>9</w:t>
      </w:r>
      <w:r w:rsidR="67C8D52C" w:rsidRPr="2ED66381">
        <w:t>.13</w:t>
      </w:r>
      <w:r w:rsidRPr="2ED66381">
        <w:t xml:space="preserve"> percent from 20</w:t>
      </w:r>
      <w:r w:rsidR="76040A4F" w:rsidRPr="2ED66381">
        <w:t>20 to 2050</w:t>
      </w:r>
      <w:r w:rsidRPr="2ED66381">
        <w:t xml:space="preserve">. </w:t>
      </w:r>
      <w:r w:rsidR="05457882" w:rsidRPr="2ED66381">
        <w:t>Brentwood</w:t>
      </w:r>
      <w:r w:rsidRPr="2ED66381">
        <w:t xml:space="preserve">’s projected population change is less than the Rockingham County, projected to increase by </w:t>
      </w:r>
      <w:r w:rsidR="763443CE" w:rsidRPr="2ED66381">
        <w:t>9.74</w:t>
      </w:r>
      <w:r w:rsidRPr="2ED66381">
        <w:t xml:space="preserve"> percent. The shift in the population growth rate in recent decades will result largely from the aging and mortality of the baby boom generation, which will temporarily, but significant increase in the population </w:t>
      </w:r>
      <w:r w:rsidR="7051E92D" w:rsidRPr="2ED66381">
        <w:t>d</w:t>
      </w:r>
      <w:r w:rsidRPr="2ED66381">
        <w:t>eath rate. It will also have impacts on tax rates, town services</w:t>
      </w:r>
      <w:r w:rsidR="001B2710">
        <w:t>,</w:t>
      </w:r>
      <w:r w:rsidRPr="2ED66381">
        <w:t xml:space="preserve"> and school enrollment for </w:t>
      </w:r>
      <w:r w:rsidR="08FA94B6" w:rsidRPr="2ED66381">
        <w:t>Brentwood</w:t>
      </w:r>
      <w:r w:rsidRPr="2ED66381">
        <w:t>.</w:t>
      </w:r>
    </w:p>
    <w:p w14:paraId="049D7873" w14:textId="38817391" w:rsidR="35A9D9A4" w:rsidRDefault="3111B120" w:rsidP="2ED66381">
      <w:pPr>
        <w:jc w:val="both"/>
      </w:pPr>
      <w:r>
        <w:rPr>
          <w:noProof/>
        </w:rPr>
        <w:drawing>
          <wp:inline distT="0" distB="0" distL="0" distR="0" wp14:anchorId="4DBD0700" wp14:editId="46120767">
            <wp:extent cx="4859128" cy="3786069"/>
            <wp:effectExtent l="0" t="0" r="5080" b="0"/>
            <wp:docPr id="1452988025" name="Picture 145298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003444" cy="3898515"/>
                    </a:xfrm>
                    <a:prstGeom prst="rect">
                      <a:avLst/>
                    </a:prstGeom>
                  </pic:spPr>
                </pic:pic>
              </a:graphicData>
            </a:graphic>
          </wp:inline>
        </w:drawing>
      </w:r>
    </w:p>
    <w:p w14:paraId="5F80659B" w14:textId="35DD12F2" w:rsidR="35A9D9A4" w:rsidRDefault="001B2710" w:rsidP="35A9D9A4">
      <w:r>
        <w:t xml:space="preserve">Brentwood’s population in 2020 (the last decennial census) was 4,490. The average age of residents (42.1) was less than the average for the RPC region (47) and slightly less than the state overall (44.9). </w:t>
      </w:r>
    </w:p>
    <w:tbl>
      <w:tblPr>
        <w:tblW w:w="0" w:type="auto"/>
        <w:tblLayout w:type="fixed"/>
        <w:tblLook w:val="06A0" w:firstRow="1" w:lastRow="0" w:firstColumn="1" w:lastColumn="0" w:noHBand="1" w:noVBand="1"/>
      </w:tblPr>
      <w:tblGrid>
        <w:gridCol w:w="4998"/>
        <w:gridCol w:w="1479"/>
        <w:gridCol w:w="1430"/>
        <w:gridCol w:w="1454"/>
      </w:tblGrid>
      <w:tr w:rsidR="35A9D9A4" w14:paraId="70125EE7" w14:textId="77777777" w:rsidTr="35A9D9A4">
        <w:trPr>
          <w:trHeight w:val="315"/>
        </w:trPr>
        <w:tc>
          <w:tcPr>
            <w:tcW w:w="4998" w:type="dxa"/>
            <w:tcBorders>
              <w:top w:val="single" w:sz="4" w:space="0" w:color="auto"/>
              <w:left w:val="single" w:sz="4" w:space="0" w:color="auto"/>
              <w:bottom w:val="single" w:sz="4" w:space="0" w:color="auto"/>
              <w:right w:val="single" w:sz="4" w:space="0" w:color="auto"/>
            </w:tcBorders>
            <w:shd w:val="clear" w:color="auto" w:fill="AEAAAA"/>
            <w:tcMar>
              <w:top w:w="15" w:type="dxa"/>
              <w:left w:w="15" w:type="dxa"/>
              <w:right w:w="15" w:type="dxa"/>
            </w:tcMar>
            <w:vAlign w:val="center"/>
          </w:tcPr>
          <w:p w14:paraId="4D17E939" w14:textId="182F4A18" w:rsidR="35A9D9A4" w:rsidRPr="007057C8" w:rsidRDefault="35A9D9A4" w:rsidP="35A9D9A4">
            <w:pPr>
              <w:spacing w:before="0" w:after="0"/>
              <w:jc w:val="both"/>
              <w:rPr>
                <w:b/>
                <w:bCs/>
                <w:color w:val="000000" w:themeColor="text1"/>
              </w:rPr>
            </w:pPr>
            <w:r w:rsidRPr="007057C8">
              <w:rPr>
                <w:b/>
                <w:bCs/>
                <w:color w:val="000000" w:themeColor="text1"/>
              </w:rPr>
              <w:lastRenderedPageBreak/>
              <w:t>Demographics (RHNA)</w:t>
            </w:r>
          </w:p>
        </w:tc>
        <w:tc>
          <w:tcPr>
            <w:tcW w:w="1479"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50DD2EF2" w14:textId="419207B5" w:rsidR="35A9D9A4" w:rsidRPr="007057C8" w:rsidRDefault="35A9D9A4" w:rsidP="009C6879">
            <w:pPr>
              <w:spacing w:before="0" w:after="0"/>
              <w:jc w:val="center"/>
              <w:rPr>
                <w:b/>
                <w:bCs/>
                <w:color w:val="000000" w:themeColor="text1"/>
              </w:rPr>
            </w:pPr>
            <w:r w:rsidRPr="007057C8">
              <w:rPr>
                <w:b/>
                <w:bCs/>
                <w:color w:val="000000" w:themeColor="text1"/>
              </w:rPr>
              <w:t>Brentwood</w:t>
            </w:r>
          </w:p>
        </w:tc>
        <w:tc>
          <w:tcPr>
            <w:tcW w:w="1430" w:type="dxa"/>
            <w:tcBorders>
              <w:top w:val="single" w:sz="4" w:space="0" w:color="auto"/>
              <w:left w:val="single" w:sz="4" w:space="0" w:color="auto"/>
              <w:bottom w:val="single" w:sz="4" w:space="0" w:color="auto"/>
              <w:right w:val="single" w:sz="4" w:space="0" w:color="auto"/>
            </w:tcBorders>
            <w:shd w:val="clear" w:color="auto" w:fill="DBDBDB"/>
            <w:tcMar>
              <w:top w:w="15" w:type="dxa"/>
              <w:left w:w="15" w:type="dxa"/>
              <w:right w:w="15" w:type="dxa"/>
            </w:tcMar>
            <w:vAlign w:val="center"/>
          </w:tcPr>
          <w:p w14:paraId="6CD0548B" w14:textId="6D9EF92E" w:rsidR="35A9D9A4" w:rsidRPr="007057C8" w:rsidRDefault="35A9D9A4" w:rsidP="009C6879">
            <w:pPr>
              <w:spacing w:before="0" w:after="0"/>
              <w:jc w:val="center"/>
              <w:rPr>
                <w:b/>
                <w:bCs/>
                <w:color w:val="000000" w:themeColor="text1"/>
              </w:rPr>
            </w:pPr>
            <w:r w:rsidRPr="007057C8">
              <w:rPr>
                <w:b/>
                <w:bCs/>
                <w:color w:val="000000" w:themeColor="text1"/>
              </w:rPr>
              <w:t>RPC Region</w:t>
            </w:r>
          </w:p>
        </w:tc>
        <w:tc>
          <w:tcPr>
            <w:tcW w:w="1454" w:type="dxa"/>
            <w:tcBorders>
              <w:top w:val="single" w:sz="4" w:space="0" w:color="auto"/>
              <w:left w:val="single" w:sz="4" w:space="0" w:color="auto"/>
              <w:bottom w:val="single" w:sz="4" w:space="0" w:color="auto"/>
              <w:right w:val="single" w:sz="4" w:space="0" w:color="auto"/>
            </w:tcBorders>
            <w:shd w:val="clear" w:color="auto" w:fill="DBDBDB"/>
            <w:tcMar>
              <w:top w:w="15" w:type="dxa"/>
              <w:left w:w="15" w:type="dxa"/>
              <w:right w:w="15" w:type="dxa"/>
            </w:tcMar>
            <w:vAlign w:val="center"/>
          </w:tcPr>
          <w:p w14:paraId="3F07C4CD" w14:textId="162AF284" w:rsidR="35A9D9A4" w:rsidRPr="007057C8" w:rsidRDefault="35A9D9A4" w:rsidP="009C6879">
            <w:pPr>
              <w:spacing w:before="0" w:after="0"/>
              <w:jc w:val="center"/>
              <w:rPr>
                <w:b/>
                <w:bCs/>
                <w:color w:val="000000" w:themeColor="text1"/>
              </w:rPr>
            </w:pPr>
            <w:r w:rsidRPr="007057C8">
              <w:rPr>
                <w:b/>
                <w:bCs/>
                <w:color w:val="000000" w:themeColor="text1"/>
              </w:rPr>
              <w:t>State of NH</w:t>
            </w:r>
          </w:p>
        </w:tc>
      </w:tr>
      <w:tr w:rsidR="35A9D9A4" w14:paraId="7B7C275C"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E755220" w14:textId="6CDDCE85" w:rsidR="35A9D9A4" w:rsidRPr="007057C8" w:rsidRDefault="35A9D9A4" w:rsidP="35A9D9A4">
            <w:pPr>
              <w:spacing w:before="0" w:after="0"/>
              <w:jc w:val="both"/>
              <w:rPr>
                <w:color w:val="000000" w:themeColor="text1"/>
              </w:rPr>
            </w:pPr>
            <w:r w:rsidRPr="007057C8">
              <w:rPr>
                <w:color w:val="000000" w:themeColor="text1"/>
              </w:rPr>
              <w:t>Total Population (2020)</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0DE36261" w14:textId="07080623" w:rsidR="35A9D9A4" w:rsidRPr="007057C8" w:rsidRDefault="35A9D9A4" w:rsidP="009C6879">
            <w:pPr>
              <w:spacing w:before="0" w:after="0"/>
              <w:jc w:val="center"/>
              <w:rPr>
                <w:color w:val="000000" w:themeColor="text1"/>
              </w:rPr>
            </w:pPr>
            <w:r w:rsidRPr="007057C8">
              <w:rPr>
                <w:color w:val="000000" w:themeColor="text1"/>
              </w:rPr>
              <w:t>4</w:t>
            </w:r>
            <w:r w:rsidR="707A6580" w:rsidRPr="007057C8">
              <w:rPr>
                <w:color w:val="000000" w:themeColor="text1"/>
              </w:rPr>
              <w:t>,</w:t>
            </w:r>
            <w:r w:rsidRPr="007057C8">
              <w:rPr>
                <w:color w:val="000000" w:themeColor="text1"/>
              </w:rPr>
              <w:t>490</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7A609B2" w14:textId="6A18FB8B" w:rsidR="35A9D9A4" w:rsidRPr="007057C8" w:rsidRDefault="35A9D9A4" w:rsidP="009C6879">
            <w:pPr>
              <w:spacing w:before="0" w:after="0"/>
              <w:jc w:val="center"/>
              <w:rPr>
                <w:color w:val="000000" w:themeColor="text1"/>
              </w:rPr>
            </w:pPr>
            <w:r w:rsidRPr="007057C8">
              <w:rPr>
                <w:color w:val="000000" w:themeColor="text1"/>
              </w:rPr>
              <w:t>198,870</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B8225B0" w14:textId="2FD085E6" w:rsidR="35A9D9A4" w:rsidRPr="007057C8" w:rsidRDefault="35A9D9A4" w:rsidP="009C6879">
            <w:pPr>
              <w:spacing w:before="0" w:after="0"/>
              <w:jc w:val="center"/>
              <w:rPr>
                <w:color w:val="000000" w:themeColor="text1"/>
              </w:rPr>
            </w:pPr>
            <w:r w:rsidRPr="007057C8">
              <w:rPr>
                <w:color w:val="000000" w:themeColor="text1"/>
              </w:rPr>
              <w:t>1,377,529</w:t>
            </w:r>
          </w:p>
        </w:tc>
      </w:tr>
      <w:tr w:rsidR="35A9D9A4" w14:paraId="32330773"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F147A60" w14:textId="2DF1E3EE" w:rsidR="35A9D9A4" w:rsidRPr="007057C8" w:rsidRDefault="35A9D9A4" w:rsidP="35A9D9A4">
            <w:pPr>
              <w:spacing w:before="0" w:after="0"/>
              <w:jc w:val="both"/>
              <w:rPr>
                <w:color w:val="000000" w:themeColor="text1"/>
              </w:rPr>
            </w:pPr>
            <w:r w:rsidRPr="007057C8">
              <w:rPr>
                <w:color w:val="000000" w:themeColor="text1"/>
              </w:rPr>
              <w:t>Average Age (2020)</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45A4598A" w14:textId="2C491958" w:rsidR="35A9D9A4" w:rsidRPr="007057C8" w:rsidRDefault="35A9D9A4" w:rsidP="009C6879">
            <w:pPr>
              <w:spacing w:before="0" w:after="0"/>
              <w:jc w:val="center"/>
              <w:rPr>
                <w:color w:val="000000" w:themeColor="text1"/>
              </w:rPr>
            </w:pPr>
            <w:r w:rsidRPr="007057C8">
              <w:rPr>
                <w:color w:val="000000" w:themeColor="text1"/>
              </w:rPr>
              <w:t>42.1</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05C5CB0" w14:textId="794FA284" w:rsidR="35A9D9A4" w:rsidRPr="007057C8" w:rsidRDefault="35A9D9A4" w:rsidP="009C6879">
            <w:pPr>
              <w:spacing w:before="0" w:after="0"/>
              <w:jc w:val="center"/>
              <w:rPr>
                <w:color w:val="000000" w:themeColor="text1"/>
              </w:rPr>
            </w:pPr>
            <w:r w:rsidRPr="007057C8">
              <w:rPr>
                <w:color w:val="000000" w:themeColor="text1"/>
              </w:rPr>
              <w:t>47</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B958D3D" w14:textId="7260819E" w:rsidR="35A9D9A4" w:rsidRPr="007057C8" w:rsidRDefault="35A9D9A4" w:rsidP="009C6879">
            <w:pPr>
              <w:spacing w:before="0" w:after="0"/>
              <w:jc w:val="center"/>
              <w:rPr>
                <w:color w:val="000000" w:themeColor="text1"/>
              </w:rPr>
            </w:pPr>
            <w:r w:rsidRPr="007057C8">
              <w:rPr>
                <w:color w:val="000000" w:themeColor="text1"/>
              </w:rPr>
              <w:t>44.</w:t>
            </w:r>
            <w:r w:rsidR="001B2710" w:rsidRPr="007057C8">
              <w:rPr>
                <w:color w:val="000000" w:themeColor="text1"/>
              </w:rPr>
              <w:t>9</w:t>
            </w:r>
          </w:p>
        </w:tc>
      </w:tr>
      <w:tr w:rsidR="35A9D9A4" w14:paraId="4BFD8305"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DC392E7" w14:textId="0DD968F9" w:rsidR="35A9D9A4" w:rsidRPr="007057C8" w:rsidRDefault="35A9D9A4" w:rsidP="35A9D9A4">
            <w:pPr>
              <w:spacing w:before="0" w:after="0"/>
              <w:rPr>
                <w:color w:val="000000" w:themeColor="text1"/>
              </w:rPr>
            </w:pPr>
            <w:r w:rsidRPr="007057C8">
              <w:rPr>
                <w:color w:val="000000" w:themeColor="text1"/>
              </w:rPr>
              <w:t>Population Over 65 (2020)</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6B28AEB0" w14:textId="704C3F15" w:rsidR="35A9D9A4" w:rsidRPr="007057C8" w:rsidRDefault="35A9D9A4" w:rsidP="009C6879">
            <w:pPr>
              <w:spacing w:before="0" w:after="0"/>
              <w:jc w:val="center"/>
              <w:rPr>
                <w:color w:val="000000" w:themeColor="text1"/>
              </w:rPr>
            </w:pPr>
            <w:r w:rsidRPr="007057C8">
              <w:rPr>
                <w:color w:val="000000" w:themeColor="text1"/>
              </w:rPr>
              <w:t>795</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B064588" w14:textId="6F1BC2C0" w:rsidR="35A9D9A4" w:rsidRPr="007057C8" w:rsidRDefault="35A9D9A4" w:rsidP="009C6879">
            <w:pPr>
              <w:spacing w:before="0" w:after="0"/>
              <w:jc w:val="center"/>
              <w:rPr>
                <w:color w:val="000000" w:themeColor="text1"/>
              </w:rPr>
            </w:pPr>
            <w:r w:rsidRPr="007057C8">
              <w:rPr>
                <w:color w:val="000000" w:themeColor="text1"/>
              </w:rPr>
              <w:t>53,873</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9BC5BA5" w14:textId="4CFF57B3" w:rsidR="35A9D9A4" w:rsidRPr="007057C8" w:rsidRDefault="35A9D9A4" w:rsidP="009C6879">
            <w:pPr>
              <w:spacing w:before="0" w:after="0"/>
              <w:jc w:val="center"/>
              <w:rPr>
                <w:color w:val="000000" w:themeColor="text1"/>
              </w:rPr>
            </w:pPr>
            <w:r w:rsidRPr="007057C8">
              <w:rPr>
                <w:color w:val="000000" w:themeColor="text1"/>
              </w:rPr>
              <w:t>245,142</w:t>
            </w:r>
          </w:p>
        </w:tc>
      </w:tr>
      <w:tr w:rsidR="35A9D9A4" w14:paraId="3731B49E"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CDC3F6A" w14:textId="6D75A994" w:rsidR="35A9D9A4" w:rsidRPr="007057C8" w:rsidRDefault="35A9D9A4" w:rsidP="35A9D9A4">
            <w:pPr>
              <w:spacing w:before="0" w:after="0"/>
              <w:jc w:val="both"/>
              <w:rPr>
                <w:color w:val="000000" w:themeColor="text1"/>
              </w:rPr>
            </w:pPr>
            <w:r w:rsidRPr="007057C8">
              <w:rPr>
                <w:color w:val="000000" w:themeColor="text1"/>
              </w:rPr>
              <w:t>Population Under 18 (2020)</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513DAB6B" w14:textId="5A6DBA13" w:rsidR="35A9D9A4" w:rsidRPr="007057C8" w:rsidRDefault="35A9D9A4" w:rsidP="009C6879">
            <w:pPr>
              <w:spacing w:before="0" w:after="0"/>
              <w:jc w:val="center"/>
              <w:rPr>
                <w:color w:val="000000" w:themeColor="text1"/>
              </w:rPr>
            </w:pPr>
            <w:r w:rsidRPr="007057C8">
              <w:rPr>
                <w:color w:val="000000" w:themeColor="text1"/>
              </w:rPr>
              <w:t>1</w:t>
            </w:r>
            <w:r w:rsidR="72009C7A" w:rsidRPr="007057C8">
              <w:rPr>
                <w:color w:val="000000" w:themeColor="text1"/>
              </w:rPr>
              <w:t>,</w:t>
            </w:r>
            <w:r w:rsidRPr="007057C8">
              <w:rPr>
                <w:color w:val="000000" w:themeColor="text1"/>
              </w:rPr>
              <w:t>174</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342C36E" w14:textId="63C58049" w:rsidR="35A9D9A4" w:rsidRPr="007057C8" w:rsidRDefault="35A9D9A4" w:rsidP="009C6879">
            <w:pPr>
              <w:spacing w:before="0" w:after="0"/>
              <w:jc w:val="center"/>
              <w:rPr>
                <w:color w:val="000000" w:themeColor="text1"/>
              </w:rPr>
            </w:pPr>
            <w:r w:rsidRPr="007057C8">
              <w:rPr>
                <w:color w:val="000000" w:themeColor="text1"/>
              </w:rPr>
              <w:t>36,043</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7163AA58" w14:textId="38230FDB" w:rsidR="35A9D9A4" w:rsidRPr="007057C8" w:rsidRDefault="35A9D9A4" w:rsidP="009C6879">
            <w:pPr>
              <w:spacing w:before="0" w:after="0"/>
              <w:jc w:val="center"/>
              <w:rPr>
                <w:color w:val="000000" w:themeColor="text1"/>
              </w:rPr>
            </w:pPr>
            <w:r w:rsidRPr="007057C8">
              <w:rPr>
                <w:color w:val="000000" w:themeColor="text1"/>
              </w:rPr>
              <w:t>257,731</w:t>
            </w:r>
          </w:p>
        </w:tc>
      </w:tr>
      <w:tr w:rsidR="35A9D9A4" w14:paraId="690DA82B"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6A341D4" w14:textId="6C1EAD13" w:rsidR="35A9D9A4" w:rsidRPr="007057C8" w:rsidRDefault="35A9D9A4" w:rsidP="35A9D9A4">
            <w:pPr>
              <w:spacing w:before="0" w:after="0"/>
              <w:jc w:val="both"/>
              <w:rPr>
                <w:color w:val="000000" w:themeColor="text1"/>
              </w:rPr>
            </w:pPr>
            <w:r w:rsidRPr="007057C8">
              <w:rPr>
                <w:color w:val="000000" w:themeColor="text1"/>
              </w:rPr>
              <w:t># Minors per Household</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57EFE979" w14:textId="3D20947E" w:rsidR="35A9D9A4" w:rsidRPr="007057C8" w:rsidRDefault="35A9D9A4" w:rsidP="009C6879">
            <w:pPr>
              <w:spacing w:before="0" w:after="0"/>
              <w:jc w:val="center"/>
              <w:rPr>
                <w:color w:val="000000" w:themeColor="text1"/>
              </w:rPr>
            </w:pPr>
            <w:r w:rsidRPr="007057C8">
              <w:rPr>
                <w:color w:val="000000" w:themeColor="text1"/>
              </w:rPr>
              <w:t>0.76</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3D36494" w14:textId="3A46C720" w:rsidR="35A9D9A4" w:rsidRPr="007057C8" w:rsidRDefault="35A9D9A4" w:rsidP="009C6879">
            <w:pPr>
              <w:spacing w:before="0" w:after="0"/>
              <w:jc w:val="center"/>
              <w:rPr>
                <w:color w:val="000000" w:themeColor="text1"/>
              </w:rPr>
            </w:pPr>
            <w:r w:rsidRPr="007057C8">
              <w:rPr>
                <w:color w:val="000000" w:themeColor="text1"/>
              </w:rPr>
              <w:t>0.45</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E596043" w14:textId="791F1613" w:rsidR="35A9D9A4" w:rsidRPr="007057C8" w:rsidRDefault="35A9D9A4" w:rsidP="009C6879">
            <w:pPr>
              <w:spacing w:before="0" w:after="0"/>
              <w:jc w:val="center"/>
              <w:rPr>
                <w:color w:val="000000" w:themeColor="text1"/>
              </w:rPr>
            </w:pPr>
            <w:r w:rsidRPr="007057C8">
              <w:rPr>
                <w:color w:val="000000" w:themeColor="text1"/>
              </w:rPr>
              <w:t>256,876</w:t>
            </w:r>
          </w:p>
        </w:tc>
      </w:tr>
      <w:tr w:rsidR="35A9D9A4" w14:paraId="22C3E7FA"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550B2A1" w14:textId="15D2E750" w:rsidR="35A9D9A4" w:rsidRPr="007057C8" w:rsidRDefault="35A9D9A4" w:rsidP="35A9D9A4">
            <w:pPr>
              <w:spacing w:before="0" w:after="0"/>
              <w:jc w:val="both"/>
              <w:rPr>
                <w:color w:val="000000" w:themeColor="text1"/>
              </w:rPr>
            </w:pPr>
            <w:r w:rsidRPr="007057C8">
              <w:rPr>
                <w:color w:val="000000" w:themeColor="text1"/>
              </w:rPr>
              <w:t>School Enrollment (2021)</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30E904D4" w14:textId="71D33BCA" w:rsidR="35A9D9A4" w:rsidRPr="007057C8" w:rsidRDefault="35A9D9A4" w:rsidP="009C6879">
            <w:pPr>
              <w:spacing w:before="0" w:after="0"/>
              <w:jc w:val="center"/>
              <w:rPr>
                <w:color w:val="000000" w:themeColor="text1"/>
              </w:rPr>
            </w:pPr>
            <w:r w:rsidRPr="007057C8">
              <w:rPr>
                <w:color w:val="000000" w:themeColor="text1"/>
              </w:rPr>
              <w:t>657</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D8320A7" w14:textId="46DC0204" w:rsidR="35A9D9A4" w:rsidRPr="007057C8" w:rsidRDefault="35A9D9A4" w:rsidP="009C6879">
            <w:pPr>
              <w:spacing w:before="0" w:after="0"/>
              <w:jc w:val="center"/>
              <w:rPr>
                <w:color w:val="000000" w:themeColor="text1"/>
              </w:rPr>
            </w:pPr>
            <w:r w:rsidRPr="007057C8">
              <w:rPr>
                <w:color w:val="000000" w:themeColor="text1"/>
              </w:rPr>
              <w:t>22,753</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43694355" w14:textId="3A75EB48" w:rsidR="35A9D9A4" w:rsidRPr="007057C8" w:rsidRDefault="35A9D9A4" w:rsidP="009C6879">
            <w:pPr>
              <w:spacing w:before="0" w:after="0"/>
              <w:jc w:val="center"/>
              <w:rPr>
                <w:color w:val="000000" w:themeColor="text1"/>
              </w:rPr>
            </w:pPr>
            <w:r w:rsidRPr="007057C8">
              <w:rPr>
                <w:color w:val="000000" w:themeColor="text1"/>
              </w:rPr>
              <w:t>163,688</w:t>
            </w:r>
          </w:p>
        </w:tc>
      </w:tr>
      <w:tr w:rsidR="35A9D9A4" w14:paraId="5C08CC2F"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7C37E59" w14:textId="7D21DB59" w:rsidR="35A9D9A4" w:rsidRPr="007057C8" w:rsidRDefault="35A9D9A4" w:rsidP="35A9D9A4">
            <w:pPr>
              <w:spacing w:before="0" w:after="0"/>
              <w:jc w:val="both"/>
              <w:rPr>
                <w:color w:val="000000" w:themeColor="text1"/>
              </w:rPr>
            </w:pPr>
            <w:r w:rsidRPr="007057C8">
              <w:rPr>
                <w:color w:val="000000" w:themeColor="text1"/>
              </w:rPr>
              <w:t>Average Household Size - Renter (2020)</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3870FC2D" w14:textId="520E5139" w:rsidR="35A9D9A4" w:rsidRPr="007057C8" w:rsidRDefault="35A9D9A4" w:rsidP="009C6879">
            <w:pPr>
              <w:spacing w:before="0" w:after="0"/>
              <w:jc w:val="center"/>
              <w:rPr>
                <w:color w:val="000000" w:themeColor="text1"/>
              </w:rPr>
            </w:pPr>
            <w:r w:rsidRPr="007057C8">
              <w:rPr>
                <w:color w:val="000000" w:themeColor="text1"/>
              </w:rPr>
              <w:t>2.22</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3CCF201" w14:textId="35D00BB8" w:rsidR="35A9D9A4" w:rsidRPr="007057C8" w:rsidRDefault="35A9D9A4" w:rsidP="009C6879">
            <w:pPr>
              <w:spacing w:before="0" w:after="0"/>
              <w:jc w:val="center"/>
              <w:rPr>
                <w:color w:val="000000" w:themeColor="text1"/>
              </w:rPr>
            </w:pPr>
            <w:r w:rsidRPr="007057C8">
              <w:rPr>
                <w:color w:val="000000" w:themeColor="text1"/>
              </w:rPr>
              <w:t>2.09</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4137A1E" w14:textId="2A8ECAB4" w:rsidR="35A9D9A4" w:rsidRPr="007057C8" w:rsidRDefault="35A9D9A4" w:rsidP="009C6879">
            <w:pPr>
              <w:spacing w:before="0" w:after="0"/>
              <w:jc w:val="center"/>
              <w:rPr>
                <w:color w:val="000000" w:themeColor="text1"/>
              </w:rPr>
            </w:pPr>
            <w:r w:rsidRPr="007057C8">
              <w:rPr>
                <w:color w:val="000000" w:themeColor="text1"/>
              </w:rPr>
              <w:t>2.26</w:t>
            </w:r>
          </w:p>
        </w:tc>
      </w:tr>
      <w:tr w:rsidR="35A9D9A4" w14:paraId="5DC83646"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15E0489" w14:textId="098ACD5E" w:rsidR="35A9D9A4" w:rsidRPr="007057C8" w:rsidRDefault="35A9D9A4" w:rsidP="35A9D9A4">
            <w:pPr>
              <w:spacing w:before="0" w:after="0"/>
              <w:jc w:val="both"/>
              <w:rPr>
                <w:color w:val="000000" w:themeColor="text1"/>
              </w:rPr>
            </w:pPr>
            <w:r w:rsidRPr="007057C8">
              <w:rPr>
                <w:color w:val="000000" w:themeColor="text1"/>
              </w:rPr>
              <w:t>Average Household Size - Owner (2020)</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2DE62A54" w14:textId="64403484" w:rsidR="35A9D9A4" w:rsidRPr="007057C8" w:rsidRDefault="35A9D9A4" w:rsidP="009C6879">
            <w:pPr>
              <w:spacing w:before="0" w:after="0"/>
              <w:jc w:val="center"/>
              <w:rPr>
                <w:color w:val="000000" w:themeColor="text1"/>
              </w:rPr>
            </w:pPr>
            <w:r w:rsidRPr="007057C8">
              <w:rPr>
                <w:color w:val="000000" w:themeColor="text1"/>
              </w:rPr>
              <w:t>2.64</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0C02495" w14:textId="1D3AC802" w:rsidR="35A9D9A4" w:rsidRPr="007057C8" w:rsidRDefault="35A9D9A4" w:rsidP="009C6879">
            <w:pPr>
              <w:spacing w:before="0" w:after="0"/>
              <w:jc w:val="center"/>
              <w:rPr>
                <w:color w:val="000000" w:themeColor="text1"/>
              </w:rPr>
            </w:pPr>
            <w:r w:rsidRPr="007057C8">
              <w:rPr>
                <w:color w:val="000000" w:themeColor="text1"/>
              </w:rPr>
              <w:t>2.6</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4444A011" w14:textId="3C6A1DE4" w:rsidR="35A9D9A4" w:rsidRPr="007057C8" w:rsidRDefault="35A9D9A4" w:rsidP="009C6879">
            <w:pPr>
              <w:spacing w:before="0" w:after="0"/>
              <w:jc w:val="center"/>
              <w:rPr>
                <w:color w:val="000000" w:themeColor="text1"/>
              </w:rPr>
            </w:pPr>
            <w:r w:rsidRPr="007057C8">
              <w:rPr>
                <w:color w:val="000000" w:themeColor="text1"/>
              </w:rPr>
              <w:t>2.5</w:t>
            </w:r>
          </w:p>
        </w:tc>
      </w:tr>
      <w:tr w:rsidR="35A9D9A4" w14:paraId="022F9F08"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2494CAA" w14:textId="63D8498B" w:rsidR="35A9D9A4" w:rsidRPr="007057C8" w:rsidRDefault="35A9D9A4" w:rsidP="35A9D9A4">
            <w:pPr>
              <w:spacing w:before="0" w:after="0"/>
              <w:jc w:val="both"/>
              <w:rPr>
                <w:color w:val="000000" w:themeColor="text1"/>
              </w:rPr>
            </w:pPr>
            <w:r w:rsidRPr="007057C8">
              <w:rPr>
                <w:color w:val="000000" w:themeColor="text1"/>
              </w:rPr>
              <w:t>Household # Family (2020)</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4B3705B8" w14:textId="3F8861CA" w:rsidR="35A9D9A4" w:rsidRPr="007057C8" w:rsidRDefault="35A9D9A4" w:rsidP="009C6879">
            <w:pPr>
              <w:spacing w:before="0" w:after="0"/>
              <w:jc w:val="center"/>
              <w:rPr>
                <w:color w:val="000000" w:themeColor="text1"/>
              </w:rPr>
            </w:pPr>
            <w:r w:rsidRPr="007057C8">
              <w:rPr>
                <w:color w:val="000000" w:themeColor="text1"/>
              </w:rPr>
              <w:t>1,294</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75C22A55" w14:textId="2A43FA2F" w:rsidR="35A9D9A4" w:rsidRPr="007057C8" w:rsidRDefault="35A9D9A4" w:rsidP="009C6879">
            <w:pPr>
              <w:spacing w:before="0" w:after="0"/>
              <w:jc w:val="center"/>
              <w:rPr>
                <w:color w:val="000000" w:themeColor="text1"/>
              </w:rPr>
            </w:pPr>
            <w:r w:rsidRPr="007057C8">
              <w:rPr>
                <w:color w:val="000000" w:themeColor="text1"/>
              </w:rPr>
              <w:t>53,287</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D268560" w14:textId="4DA454DB" w:rsidR="35A9D9A4" w:rsidRPr="007057C8" w:rsidRDefault="35A9D9A4" w:rsidP="009C6879">
            <w:pPr>
              <w:spacing w:before="0" w:after="0"/>
              <w:jc w:val="center"/>
              <w:rPr>
                <w:color w:val="000000" w:themeColor="text1"/>
              </w:rPr>
            </w:pPr>
            <w:r w:rsidRPr="007057C8">
              <w:rPr>
                <w:color w:val="000000" w:themeColor="text1"/>
              </w:rPr>
              <w:t>351,445</w:t>
            </w:r>
          </w:p>
        </w:tc>
      </w:tr>
      <w:tr w:rsidR="35A9D9A4" w14:paraId="19075E8E"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D863843" w14:textId="21DE5A89" w:rsidR="35A9D9A4" w:rsidRPr="007057C8" w:rsidRDefault="35A9D9A4" w:rsidP="35A9D9A4">
            <w:pPr>
              <w:spacing w:before="0" w:after="0"/>
              <w:jc w:val="both"/>
              <w:rPr>
                <w:color w:val="000000" w:themeColor="text1"/>
              </w:rPr>
            </w:pPr>
            <w:r w:rsidRPr="007057C8">
              <w:rPr>
                <w:color w:val="000000" w:themeColor="text1"/>
              </w:rPr>
              <w:t xml:space="preserve">Household # </w:t>
            </w:r>
            <w:proofErr w:type="gramStart"/>
            <w:r w:rsidRPr="007057C8">
              <w:rPr>
                <w:color w:val="000000" w:themeColor="text1"/>
              </w:rPr>
              <w:t>Non-Family</w:t>
            </w:r>
            <w:proofErr w:type="gramEnd"/>
            <w:r w:rsidRPr="007057C8">
              <w:rPr>
                <w:color w:val="000000" w:themeColor="text1"/>
              </w:rPr>
              <w:t xml:space="preserve"> (2020)</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159567E3" w14:textId="18A6EF25" w:rsidR="35A9D9A4" w:rsidRPr="007057C8" w:rsidRDefault="35A9D9A4" w:rsidP="009C6879">
            <w:pPr>
              <w:spacing w:before="0" w:after="0"/>
              <w:jc w:val="center"/>
              <w:rPr>
                <w:color w:val="000000" w:themeColor="text1"/>
              </w:rPr>
            </w:pPr>
            <w:r w:rsidRPr="007057C8">
              <w:rPr>
                <w:color w:val="000000" w:themeColor="text1"/>
              </w:rPr>
              <w:t>247</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4A7F311" w14:textId="15FA9AB4" w:rsidR="35A9D9A4" w:rsidRPr="007057C8" w:rsidRDefault="35A9D9A4" w:rsidP="009C6879">
            <w:pPr>
              <w:spacing w:before="0" w:after="0"/>
              <w:jc w:val="center"/>
              <w:rPr>
                <w:color w:val="000000" w:themeColor="text1"/>
              </w:rPr>
            </w:pPr>
            <w:r w:rsidRPr="007057C8">
              <w:rPr>
                <w:color w:val="000000" w:themeColor="text1"/>
              </w:rPr>
              <w:t>27,410</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48DD6163" w14:textId="2750F6AB" w:rsidR="35A9D9A4" w:rsidRPr="007057C8" w:rsidRDefault="35A9D9A4" w:rsidP="009C6879">
            <w:pPr>
              <w:spacing w:before="0" w:after="0"/>
              <w:jc w:val="center"/>
              <w:rPr>
                <w:color w:val="000000" w:themeColor="text1"/>
              </w:rPr>
            </w:pPr>
            <w:r w:rsidRPr="007057C8">
              <w:rPr>
                <w:color w:val="000000" w:themeColor="text1"/>
              </w:rPr>
              <w:t>187,671</w:t>
            </w:r>
          </w:p>
        </w:tc>
      </w:tr>
      <w:tr w:rsidR="35A9D9A4" w14:paraId="2BF91C62"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F97DCB3" w14:textId="5F8DF3BF" w:rsidR="35A9D9A4" w:rsidRPr="007057C8" w:rsidRDefault="35A9D9A4" w:rsidP="35A9D9A4">
            <w:pPr>
              <w:spacing w:before="0" w:after="0"/>
              <w:jc w:val="both"/>
              <w:rPr>
                <w:color w:val="000000" w:themeColor="text1"/>
              </w:rPr>
            </w:pPr>
            <w:r w:rsidRPr="007057C8">
              <w:rPr>
                <w:color w:val="000000" w:themeColor="text1"/>
              </w:rPr>
              <w:t>Persons with Disabilities</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6F5B138E" w14:textId="5D52EC55" w:rsidR="35A9D9A4" w:rsidRPr="007057C8" w:rsidRDefault="35A9D9A4" w:rsidP="009C6879">
            <w:pPr>
              <w:spacing w:before="0" w:after="0"/>
              <w:jc w:val="center"/>
              <w:rPr>
                <w:color w:val="000000" w:themeColor="text1"/>
              </w:rPr>
            </w:pPr>
            <w:r w:rsidRPr="007057C8">
              <w:rPr>
                <w:color w:val="000000" w:themeColor="text1"/>
              </w:rPr>
              <w:t>301</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766148E" w14:textId="4C6F9EF4" w:rsidR="35A9D9A4" w:rsidRPr="007057C8" w:rsidRDefault="35A9D9A4" w:rsidP="009C6879">
            <w:pPr>
              <w:spacing w:before="0" w:after="0"/>
              <w:jc w:val="center"/>
              <w:rPr>
                <w:color w:val="000000" w:themeColor="text1"/>
              </w:rPr>
            </w:pPr>
            <w:r w:rsidRPr="007057C8">
              <w:rPr>
                <w:color w:val="000000" w:themeColor="text1"/>
              </w:rPr>
              <w:t>21,295</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1FC3197" w14:textId="4FEE898D" w:rsidR="35A9D9A4" w:rsidRPr="007057C8" w:rsidRDefault="35A9D9A4" w:rsidP="009C6879">
            <w:pPr>
              <w:spacing w:before="0" w:after="0"/>
              <w:jc w:val="center"/>
              <w:rPr>
                <w:color w:val="000000" w:themeColor="text1"/>
              </w:rPr>
            </w:pPr>
            <w:r w:rsidRPr="007057C8">
              <w:rPr>
                <w:color w:val="000000" w:themeColor="text1"/>
              </w:rPr>
              <w:t>170,907</w:t>
            </w:r>
          </w:p>
        </w:tc>
      </w:tr>
    </w:tbl>
    <w:p w14:paraId="139B6CB9" w14:textId="77777777" w:rsidR="001B2710" w:rsidRDefault="001B2710" w:rsidP="35A9D9A4"/>
    <w:p w14:paraId="50204C0E" w14:textId="563C5FF6" w:rsidR="00A140CC" w:rsidRDefault="00A140CC" w:rsidP="00A140CC">
      <w:pPr>
        <w:pStyle w:val="Heading2"/>
      </w:pPr>
      <w:r>
        <w:t>Housing Units</w:t>
      </w:r>
    </w:p>
    <w:p w14:paraId="32096315" w14:textId="64B660E4" w:rsidR="001B2710" w:rsidRDefault="001B2710" w:rsidP="35A9D9A4">
      <w:r>
        <w:t xml:space="preserve">Brentwood has an estimated 1,631 housing units, </w:t>
      </w:r>
      <w:r w:rsidR="00A140CC">
        <w:t>about 8% of which are renter-occupied, with the vast majority being owner-occupied. Regionally, more than 20% of housing is renter-occupied, and statewide nearly 25% is renter-occupied.</w:t>
      </w:r>
    </w:p>
    <w:tbl>
      <w:tblPr>
        <w:tblW w:w="0" w:type="auto"/>
        <w:tblLayout w:type="fixed"/>
        <w:tblLook w:val="06A0" w:firstRow="1" w:lastRow="0" w:firstColumn="1" w:lastColumn="0" w:noHBand="1" w:noVBand="1"/>
      </w:tblPr>
      <w:tblGrid>
        <w:gridCol w:w="4998"/>
        <w:gridCol w:w="1479"/>
        <w:gridCol w:w="1430"/>
        <w:gridCol w:w="1454"/>
      </w:tblGrid>
      <w:tr w:rsidR="35A9D9A4" w14:paraId="621F635B" w14:textId="77777777" w:rsidTr="35A9D9A4">
        <w:trPr>
          <w:trHeight w:val="315"/>
        </w:trPr>
        <w:tc>
          <w:tcPr>
            <w:tcW w:w="4998" w:type="dxa"/>
            <w:tcBorders>
              <w:top w:val="single" w:sz="4" w:space="0" w:color="auto"/>
              <w:left w:val="single" w:sz="4" w:space="0" w:color="auto"/>
              <w:bottom w:val="single" w:sz="4" w:space="0" w:color="auto"/>
              <w:right w:val="single" w:sz="4" w:space="0" w:color="auto"/>
            </w:tcBorders>
            <w:shd w:val="clear" w:color="auto" w:fill="AEAAAA"/>
            <w:tcMar>
              <w:top w:w="15" w:type="dxa"/>
              <w:left w:w="15" w:type="dxa"/>
              <w:right w:w="15" w:type="dxa"/>
            </w:tcMar>
            <w:vAlign w:val="center"/>
          </w:tcPr>
          <w:p w14:paraId="48ECE630" w14:textId="6C626B28" w:rsidR="35A9D9A4" w:rsidRPr="00A140CC" w:rsidRDefault="35A9D9A4" w:rsidP="35A9D9A4">
            <w:pPr>
              <w:spacing w:before="0" w:after="0"/>
              <w:jc w:val="both"/>
              <w:rPr>
                <w:b/>
                <w:bCs/>
                <w:color w:val="000000" w:themeColor="text1"/>
              </w:rPr>
            </w:pPr>
            <w:r w:rsidRPr="00A140CC">
              <w:rPr>
                <w:b/>
                <w:bCs/>
                <w:color w:val="000000" w:themeColor="text1"/>
              </w:rPr>
              <w:t>Housing Data (RHNA)</w:t>
            </w:r>
          </w:p>
        </w:tc>
        <w:tc>
          <w:tcPr>
            <w:tcW w:w="1479"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B4AE8D" w14:textId="221C7BA5" w:rsidR="35A9D9A4" w:rsidRPr="00A140CC" w:rsidRDefault="35A9D9A4" w:rsidP="009C6879">
            <w:pPr>
              <w:spacing w:before="0" w:after="0"/>
              <w:jc w:val="center"/>
              <w:rPr>
                <w:b/>
                <w:bCs/>
                <w:color w:val="000000" w:themeColor="text1"/>
              </w:rPr>
            </w:pPr>
            <w:r w:rsidRPr="00A140CC">
              <w:rPr>
                <w:b/>
                <w:bCs/>
                <w:color w:val="000000" w:themeColor="text1"/>
              </w:rPr>
              <w:t>Brentwood</w:t>
            </w:r>
          </w:p>
        </w:tc>
        <w:tc>
          <w:tcPr>
            <w:tcW w:w="1430" w:type="dxa"/>
            <w:tcBorders>
              <w:top w:val="single" w:sz="4" w:space="0" w:color="auto"/>
              <w:left w:val="single" w:sz="4" w:space="0" w:color="auto"/>
              <w:bottom w:val="single" w:sz="4" w:space="0" w:color="auto"/>
              <w:right w:val="single" w:sz="4" w:space="0" w:color="auto"/>
            </w:tcBorders>
            <w:shd w:val="clear" w:color="auto" w:fill="DBDBDB"/>
            <w:tcMar>
              <w:top w:w="15" w:type="dxa"/>
              <w:left w:w="15" w:type="dxa"/>
              <w:right w:w="15" w:type="dxa"/>
            </w:tcMar>
            <w:vAlign w:val="center"/>
          </w:tcPr>
          <w:p w14:paraId="40618AF8" w14:textId="209B297C" w:rsidR="35A9D9A4" w:rsidRPr="00A140CC" w:rsidRDefault="35A9D9A4" w:rsidP="009C6879">
            <w:pPr>
              <w:spacing w:before="0" w:after="0"/>
              <w:jc w:val="center"/>
              <w:rPr>
                <w:b/>
                <w:bCs/>
                <w:color w:val="000000" w:themeColor="text1"/>
              </w:rPr>
            </w:pPr>
            <w:r w:rsidRPr="00A140CC">
              <w:rPr>
                <w:b/>
                <w:bCs/>
                <w:color w:val="000000" w:themeColor="text1"/>
              </w:rPr>
              <w:t>RPC Region</w:t>
            </w:r>
          </w:p>
        </w:tc>
        <w:tc>
          <w:tcPr>
            <w:tcW w:w="1454" w:type="dxa"/>
            <w:tcBorders>
              <w:top w:val="single" w:sz="4" w:space="0" w:color="auto"/>
              <w:left w:val="single" w:sz="4" w:space="0" w:color="auto"/>
              <w:bottom w:val="single" w:sz="4" w:space="0" w:color="auto"/>
              <w:right w:val="single" w:sz="4" w:space="0" w:color="auto"/>
            </w:tcBorders>
            <w:shd w:val="clear" w:color="auto" w:fill="DBDBDB"/>
            <w:tcMar>
              <w:top w:w="15" w:type="dxa"/>
              <w:left w:w="15" w:type="dxa"/>
              <w:right w:w="15" w:type="dxa"/>
            </w:tcMar>
            <w:vAlign w:val="center"/>
          </w:tcPr>
          <w:p w14:paraId="47554697" w14:textId="150D568C" w:rsidR="35A9D9A4" w:rsidRPr="00A140CC" w:rsidRDefault="35A9D9A4" w:rsidP="009C6879">
            <w:pPr>
              <w:spacing w:before="0" w:after="0"/>
              <w:jc w:val="center"/>
              <w:rPr>
                <w:b/>
                <w:bCs/>
                <w:color w:val="000000" w:themeColor="text1"/>
              </w:rPr>
            </w:pPr>
            <w:r w:rsidRPr="00A140CC">
              <w:rPr>
                <w:b/>
                <w:bCs/>
                <w:color w:val="000000" w:themeColor="text1"/>
              </w:rPr>
              <w:t>State of NH</w:t>
            </w:r>
          </w:p>
        </w:tc>
      </w:tr>
      <w:tr w:rsidR="35A9D9A4" w14:paraId="26040296"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A4800D4" w14:textId="418E2D95" w:rsidR="35A9D9A4" w:rsidRPr="00A140CC" w:rsidRDefault="35A9D9A4" w:rsidP="35A9D9A4">
            <w:pPr>
              <w:spacing w:before="0" w:after="0"/>
              <w:jc w:val="both"/>
              <w:rPr>
                <w:color w:val="000000" w:themeColor="text1"/>
              </w:rPr>
            </w:pPr>
            <w:r w:rsidRPr="00A140CC">
              <w:rPr>
                <w:color w:val="000000" w:themeColor="text1"/>
              </w:rPr>
              <w:t># Housing Units</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386E51DE" w14:textId="4D0BC205" w:rsidR="35A9D9A4" w:rsidRPr="00A140CC" w:rsidRDefault="35A9D9A4" w:rsidP="009C6879">
            <w:pPr>
              <w:spacing w:before="0" w:after="0"/>
              <w:jc w:val="center"/>
              <w:rPr>
                <w:color w:val="000000" w:themeColor="text1"/>
              </w:rPr>
            </w:pPr>
            <w:r w:rsidRPr="00A140CC">
              <w:rPr>
                <w:color w:val="000000" w:themeColor="text1"/>
              </w:rPr>
              <w:t>1,631</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CB92E53" w14:textId="7C8CAF83" w:rsidR="35A9D9A4" w:rsidRPr="00A140CC" w:rsidRDefault="35A9D9A4" w:rsidP="009C6879">
            <w:pPr>
              <w:spacing w:before="0" w:after="0"/>
              <w:jc w:val="center"/>
              <w:rPr>
                <w:color w:val="000000" w:themeColor="text1"/>
              </w:rPr>
            </w:pPr>
            <w:r w:rsidRPr="00A140CC">
              <w:rPr>
                <w:color w:val="000000" w:themeColor="text1"/>
              </w:rPr>
              <w:t>88,586</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38C5849" w14:textId="1C989A23" w:rsidR="35A9D9A4" w:rsidRPr="00A140CC" w:rsidRDefault="35A9D9A4" w:rsidP="009C6879">
            <w:pPr>
              <w:spacing w:before="0" w:after="0"/>
              <w:jc w:val="center"/>
              <w:rPr>
                <w:color w:val="000000" w:themeColor="text1"/>
              </w:rPr>
            </w:pPr>
            <w:r w:rsidRPr="00A140CC">
              <w:rPr>
                <w:color w:val="000000" w:themeColor="text1"/>
              </w:rPr>
              <w:t>638,611</w:t>
            </w:r>
          </w:p>
        </w:tc>
      </w:tr>
      <w:tr w:rsidR="35A9D9A4" w14:paraId="148F42A1"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A9FDA61" w14:textId="5E883D57" w:rsidR="35A9D9A4" w:rsidRPr="00A140CC" w:rsidRDefault="35A9D9A4" w:rsidP="35A9D9A4">
            <w:pPr>
              <w:spacing w:before="0" w:after="0"/>
              <w:jc w:val="both"/>
              <w:rPr>
                <w:color w:val="000000" w:themeColor="text1"/>
              </w:rPr>
            </w:pPr>
            <w:r w:rsidRPr="00A140CC">
              <w:rPr>
                <w:color w:val="000000" w:themeColor="text1"/>
              </w:rPr>
              <w:t>Renter Occupied Units</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1DD7356C" w14:textId="7A07693F" w:rsidR="35A9D9A4" w:rsidRPr="00A140CC" w:rsidRDefault="35A9D9A4" w:rsidP="009C6879">
            <w:pPr>
              <w:spacing w:before="0" w:after="0"/>
              <w:jc w:val="center"/>
              <w:rPr>
                <w:color w:val="000000" w:themeColor="text1"/>
              </w:rPr>
            </w:pPr>
            <w:r w:rsidRPr="00A140CC">
              <w:rPr>
                <w:color w:val="000000" w:themeColor="text1"/>
              </w:rPr>
              <w:t>138</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D1339E1" w14:textId="5AB2DA76" w:rsidR="35A9D9A4" w:rsidRPr="00A140CC" w:rsidRDefault="35A9D9A4" w:rsidP="009C6879">
            <w:pPr>
              <w:spacing w:before="0" w:after="0"/>
              <w:jc w:val="center"/>
              <w:rPr>
                <w:color w:val="000000" w:themeColor="text1"/>
              </w:rPr>
            </w:pPr>
            <w:r w:rsidRPr="00A140CC">
              <w:rPr>
                <w:color w:val="000000" w:themeColor="text1"/>
              </w:rPr>
              <w:t>18,577</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404B3F3" w14:textId="7D410E14" w:rsidR="35A9D9A4" w:rsidRPr="00A140CC" w:rsidRDefault="35A9D9A4" w:rsidP="009C6879">
            <w:pPr>
              <w:spacing w:before="0" w:after="0"/>
              <w:jc w:val="center"/>
              <w:rPr>
                <w:color w:val="000000" w:themeColor="text1"/>
              </w:rPr>
            </w:pPr>
            <w:r w:rsidRPr="00A140CC">
              <w:rPr>
                <w:color w:val="000000" w:themeColor="text1"/>
              </w:rPr>
              <w:t>155,277</w:t>
            </w:r>
          </w:p>
        </w:tc>
      </w:tr>
      <w:tr w:rsidR="35A9D9A4" w14:paraId="3D37B51F"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3AC9A72" w14:textId="1B741590" w:rsidR="35A9D9A4" w:rsidRPr="00A140CC" w:rsidRDefault="35A9D9A4" w:rsidP="35A9D9A4">
            <w:pPr>
              <w:spacing w:before="0" w:after="0"/>
              <w:jc w:val="both"/>
              <w:rPr>
                <w:color w:val="000000" w:themeColor="text1"/>
              </w:rPr>
            </w:pPr>
            <w:r w:rsidRPr="00A140CC">
              <w:rPr>
                <w:color w:val="000000" w:themeColor="text1"/>
              </w:rPr>
              <w:t>Owner Occupied Units</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5EADE7B7" w14:textId="4992B431" w:rsidR="35A9D9A4" w:rsidRPr="00A140CC" w:rsidRDefault="35A9D9A4" w:rsidP="009C6879">
            <w:pPr>
              <w:spacing w:before="0" w:after="0"/>
              <w:jc w:val="center"/>
              <w:rPr>
                <w:color w:val="000000" w:themeColor="text1"/>
              </w:rPr>
            </w:pPr>
            <w:r w:rsidRPr="00A140CC">
              <w:rPr>
                <w:color w:val="000000" w:themeColor="text1"/>
              </w:rPr>
              <w:t>1,403</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A28EEC8" w14:textId="093024A4" w:rsidR="35A9D9A4" w:rsidRPr="00A140CC" w:rsidRDefault="35A9D9A4" w:rsidP="009C6879">
            <w:pPr>
              <w:spacing w:before="0" w:after="0"/>
              <w:jc w:val="center"/>
              <w:rPr>
                <w:color w:val="000000" w:themeColor="text1"/>
              </w:rPr>
            </w:pPr>
            <w:r w:rsidRPr="00A140CC">
              <w:rPr>
                <w:color w:val="000000" w:themeColor="text1"/>
              </w:rPr>
              <w:t>62,120</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748B257" w14:textId="15BDC941" w:rsidR="35A9D9A4" w:rsidRPr="00A140CC" w:rsidRDefault="35A9D9A4" w:rsidP="009C6879">
            <w:pPr>
              <w:spacing w:before="0" w:after="0"/>
              <w:jc w:val="center"/>
              <w:rPr>
                <w:color w:val="000000" w:themeColor="text1"/>
              </w:rPr>
            </w:pPr>
            <w:r w:rsidRPr="00A140CC">
              <w:rPr>
                <w:color w:val="000000" w:themeColor="text1"/>
              </w:rPr>
              <w:t>383,839</w:t>
            </w:r>
          </w:p>
        </w:tc>
      </w:tr>
      <w:tr w:rsidR="35A9D9A4" w14:paraId="63178395"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8386315" w14:textId="11C10E88" w:rsidR="35A9D9A4" w:rsidRPr="00A140CC" w:rsidRDefault="35A9D9A4" w:rsidP="35A9D9A4">
            <w:pPr>
              <w:spacing w:before="0" w:after="0"/>
              <w:jc w:val="both"/>
              <w:rPr>
                <w:color w:val="000000" w:themeColor="text1"/>
              </w:rPr>
            </w:pPr>
            <w:r w:rsidRPr="00A140CC">
              <w:rPr>
                <w:color w:val="000000" w:themeColor="text1"/>
              </w:rPr>
              <w:t>Seasonal Housing Units</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17D41BDF" w14:textId="0E2AB0F3" w:rsidR="35A9D9A4" w:rsidRPr="00A140CC" w:rsidRDefault="35A9D9A4" w:rsidP="009C6879">
            <w:pPr>
              <w:spacing w:before="0" w:after="0"/>
              <w:jc w:val="center"/>
              <w:rPr>
                <w:color w:val="000000" w:themeColor="text1"/>
              </w:rPr>
            </w:pPr>
            <w:r w:rsidRPr="00A140CC">
              <w:rPr>
                <w:color w:val="000000" w:themeColor="text1"/>
              </w:rPr>
              <w:t>24</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5891646" w14:textId="55ECFD10" w:rsidR="35A9D9A4" w:rsidRPr="00A140CC" w:rsidRDefault="35A9D9A4" w:rsidP="009C6879">
            <w:pPr>
              <w:spacing w:before="0" w:after="0"/>
              <w:jc w:val="center"/>
              <w:rPr>
                <w:color w:val="000000" w:themeColor="text1"/>
              </w:rPr>
            </w:pPr>
            <w:r w:rsidRPr="00A140CC">
              <w:rPr>
                <w:color w:val="000000" w:themeColor="text1"/>
              </w:rPr>
              <w:t>4,487</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15D4626" w14:textId="238D91AF" w:rsidR="35A9D9A4" w:rsidRPr="00A140CC" w:rsidRDefault="35A9D9A4" w:rsidP="009C6879">
            <w:pPr>
              <w:spacing w:before="0" w:after="0"/>
              <w:jc w:val="center"/>
              <w:rPr>
                <w:color w:val="000000" w:themeColor="text1"/>
              </w:rPr>
            </w:pPr>
            <w:r w:rsidRPr="00A140CC">
              <w:rPr>
                <w:color w:val="000000" w:themeColor="text1"/>
              </w:rPr>
              <w:t>70,149</w:t>
            </w:r>
          </w:p>
        </w:tc>
      </w:tr>
      <w:tr w:rsidR="35A9D9A4" w14:paraId="33AA25DB"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2460D35" w14:textId="1A1F67A6" w:rsidR="35A9D9A4" w:rsidRPr="00A140CC" w:rsidRDefault="35A9D9A4" w:rsidP="35A9D9A4">
            <w:pPr>
              <w:spacing w:before="0" w:after="0"/>
              <w:jc w:val="both"/>
              <w:rPr>
                <w:color w:val="000000" w:themeColor="text1"/>
              </w:rPr>
            </w:pPr>
            <w:r w:rsidRPr="00A140CC">
              <w:rPr>
                <w:color w:val="000000" w:themeColor="text1"/>
              </w:rPr>
              <w:t>Short-Term Rental Units</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52C4E62D" w14:textId="1F872101" w:rsidR="35A9D9A4" w:rsidRPr="00A140CC" w:rsidRDefault="35A9D9A4" w:rsidP="009C6879">
            <w:pPr>
              <w:spacing w:before="0" w:after="0"/>
              <w:jc w:val="center"/>
              <w:rPr>
                <w:color w:val="000000" w:themeColor="text1"/>
              </w:rPr>
            </w:pPr>
            <w:r w:rsidRPr="00A140CC">
              <w:rPr>
                <w:color w:val="000000" w:themeColor="text1"/>
              </w:rPr>
              <w:t>0</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D1415D9" w14:textId="01BE97E6" w:rsidR="35A9D9A4" w:rsidRPr="00A140CC" w:rsidRDefault="35A9D9A4" w:rsidP="009C6879">
            <w:pPr>
              <w:spacing w:before="0" w:after="0"/>
              <w:jc w:val="center"/>
              <w:rPr>
                <w:color w:val="000000" w:themeColor="text1"/>
              </w:rPr>
            </w:pPr>
            <w:r w:rsidRPr="00A140CC">
              <w:rPr>
                <w:color w:val="000000" w:themeColor="text1"/>
              </w:rPr>
              <w:t>845</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3EE3020" w14:textId="5E25CEAE" w:rsidR="35A9D9A4" w:rsidRPr="00A140CC" w:rsidRDefault="35A9D9A4" w:rsidP="009C6879">
            <w:pPr>
              <w:spacing w:before="0" w:after="0"/>
              <w:jc w:val="center"/>
              <w:rPr>
                <w:color w:val="000000" w:themeColor="text1"/>
              </w:rPr>
            </w:pPr>
            <w:r w:rsidRPr="00A140CC">
              <w:rPr>
                <w:color w:val="000000" w:themeColor="text1"/>
              </w:rPr>
              <w:t>-</w:t>
            </w:r>
          </w:p>
        </w:tc>
      </w:tr>
      <w:tr w:rsidR="35A9D9A4" w14:paraId="5F3C111F"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89D8A76" w14:textId="2FE43CC9" w:rsidR="35A9D9A4" w:rsidRPr="00A140CC" w:rsidRDefault="35A9D9A4" w:rsidP="35A9D9A4">
            <w:pPr>
              <w:spacing w:before="0" w:after="0"/>
              <w:jc w:val="both"/>
              <w:rPr>
                <w:color w:val="000000" w:themeColor="text1"/>
              </w:rPr>
            </w:pPr>
            <w:r w:rsidRPr="00A140CC">
              <w:rPr>
                <w:color w:val="000000" w:themeColor="text1"/>
              </w:rPr>
              <w:t>Occupied Housing</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112CA346" w14:textId="19E93BFB" w:rsidR="35A9D9A4" w:rsidRPr="00A140CC" w:rsidRDefault="35A9D9A4" w:rsidP="009C6879">
            <w:pPr>
              <w:spacing w:before="0" w:after="0"/>
              <w:jc w:val="center"/>
              <w:rPr>
                <w:color w:val="000000" w:themeColor="text1"/>
              </w:rPr>
            </w:pPr>
            <w:r w:rsidRPr="00A140CC">
              <w:rPr>
                <w:color w:val="000000" w:themeColor="text1"/>
              </w:rPr>
              <w:t>1,455</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BEAC5F8" w14:textId="403A04C2" w:rsidR="35A9D9A4" w:rsidRPr="00A140CC" w:rsidRDefault="35A9D9A4" w:rsidP="009C6879">
            <w:pPr>
              <w:spacing w:before="0" w:after="0"/>
              <w:jc w:val="center"/>
              <w:rPr>
                <w:color w:val="000000" w:themeColor="text1"/>
              </w:rPr>
            </w:pPr>
            <w:r w:rsidRPr="00A140CC">
              <w:rPr>
                <w:color w:val="000000" w:themeColor="text1"/>
              </w:rPr>
              <w:t>82,268</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4C91778E" w14:textId="1FD048FB" w:rsidR="35A9D9A4" w:rsidRPr="00A140CC" w:rsidRDefault="35A9D9A4" w:rsidP="009C6879">
            <w:pPr>
              <w:spacing w:before="0" w:after="0"/>
              <w:jc w:val="center"/>
              <w:rPr>
                <w:color w:val="000000" w:themeColor="text1"/>
              </w:rPr>
            </w:pPr>
            <w:r w:rsidRPr="00A140CC">
              <w:rPr>
                <w:color w:val="000000" w:themeColor="text1"/>
              </w:rPr>
              <w:t>556,375</w:t>
            </w:r>
          </w:p>
        </w:tc>
      </w:tr>
      <w:tr w:rsidR="35A9D9A4" w14:paraId="076445D8" w14:textId="77777777" w:rsidTr="35A9D9A4">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AAFE864" w14:textId="41B107C4" w:rsidR="35A9D9A4" w:rsidRPr="00A140CC" w:rsidRDefault="35A9D9A4" w:rsidP="35A9D9A4">
            <w:pPr>
              <w:spacing w:before="0" w:after="0"/>
              <w:jc w:val="both"/>
              <w:rPr>
                <w:color w:val="000000" w:themeColor="text1"/>
              </w:rPr>
            </w:pPr>
            <w:r w:rsidRPr="00A140CC">
              <w:rPr>
                <w:color w:val="000000" w:themeColor="text1"/>
              </w:rPr>
              <w:t>Vacant Housing</w:t>
            </w:r>
          </w:p>
        </w:tc>
        <w:tc>
          <w:tcPr>
            <w:tcW w:w="1479"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14:paraId="37E336B3" w14:textId="077F01AD" w:rsidR="35A9D9A4" w:rsidRPr="00A140CC" w:rsidRDefault="35A9D9A4" w:rsidP="009C6879">
            <w:pPr>
              <w:spacing w:before="0" w:after="0"/>
              <w:jc w:val="center"/>
              <w:rPr>
                <w:color w:val="000000" w:themeColor="text1"/>
              </w:rPr>
            </w:pPr>
            <w:r w:rsidRPr="00A140CC">
              <w:rPr>
                <w:color w:val="000000" w:themeColor="text1"/>
              </w:rPr>
              <w:t>-</w:t>
            </w:r>
          </w:p>
        </w:tc>
        <w:tc>
          <w:tcPr>
            <w:tcW w:w="143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FC35DD8" w14:textId="261BA776" w:rsidR="35A9D9A4" w:rsidRPr="00A140CC" w:rsidRDefault="35A9D9A4" w:rsidP="009C6879">
            <w:pPr>
              <w:spacing w:before="0" w:after="0"/>
              <w:jc w:val="center"/>
              <w:rPr>
                <w:color w:val="000000" w:themeColor="text1"/>
              </w:rPr>
            </w:pPr>
            <w:r w:rsidRPr="00A140CC">
              <w:rPr>
                <w:color w:val="000000" w:themeColor="text1"/>
              </w:rPr>
              <w:t>7,376</w:t>
            </w:r>
          </w:p>
        </w:tc>
        <w:tc>
          <w:tcPr>
            <w:tcW w:w="1454"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1B03FB4" w14:textId="5460A836" w:rsidR="35A9D9A4" w:rsidRPr="00A140CC" w:rsidRDefault="35A9D9A4" w:rsidP="009C6879">
            <w:pPr>
              <w:spacing w:before="0" w:after="0"/>
              <w:jc w:val="center"/>
              <w:rPr>
                <w:color w:val="000000" w:themeColor="text1"/>
              </w:rPr>
            </w:pPr>
            <w:r w:rsidRPr="00A140CC">
              <w:rPr>
                <w:color w:val="000000" w:themeColor="text1"/>
              </w:rPr>
              <w:t>82,438</w:t>
            </w:r>
          </w:p>
        </w:tc>
      </w:tr>
    </w:tbl>
    <w:p w14:paraId="73CB45DE" w14:textId="45A8D195" w:rsidR="35A9D9A4" w:rsidRDefault="35A9D9A4" w:rsidP="35A9D9A4"/>
    <w:p w14:paraId="094D2D19" w14:textId="6E3D8762" w:rsidR="00A140CC" w:rsidRDefault="00A140CC" w:rsidP="00A140CC">
      <w:pPr>
        <w:pStyle w:val="Heading2"/>
      </w:pPr>
      <w:r>
        <w:t>Affordability</w:t>
      </w:r>
    </w:p>
    <w:p w14:paraId="1D2931E7" w14:textId="45B01404" w:rsidR="00A140CC" w:rsidRDefault="00A140CC" w:rsidP="35A9D9A4">
      <w:r>
        <w:t>Brentwood’s median household income is more than double than the statewide figure. The median home price in Brentwood is also considerably more than statewide</w:t>
      </w:r>
    </w:p>
    <w:tbl>
      <w:tblPr>
        <w:tblW w:w="9805" w:type="dxa"/>
        <w:tblLayout w:type="fixed"/>
        <w:tblLook w:val="06A0" w:firstRow="1" w:lastRow="0" w:firstColumn="1" w:lastColumn="0" w:noHBand="1" w:noVBand="1"/>
      </w:tblPr>
      <w:tblGrid>
        <w:gridCol w:w="6205"/>
        <w:gridCol w:w="1170"/>
        <w:gridCol w:w="1170"/>
        <w:gridCol w:w="1260"/>
      </w:tblGrid>
      <w:tr w:rsidR="2ED66381" w14:paraId="3FA9DFF6" w14:textId="77777777" w:rsidTr="00A140CC">
        <w:trPr>
          <w:trHeight w:val="315"/>
        </w:trPr>
        <w:tc>
          <w:tcPr>
            <w:tcW w:w="6205" w:type="dxa"/>
            <w:tcBorders>
              <w:top w:val="single" w:sz="4" w:space="0" w:color="auto"/>
              <w:left w:val="single" w:sz="4" w:space="0" w:color="auto"/>
              <w:bottom w:val="single" w:sz="4" w:space="0" w:color="auto"/>
              <w:right w:val="single" w:sz="4" w:space="0" w:color="auto"/>
            </w:tcBorders>
            <w:shd w:val="clear" w:color="auto" w:fill="AEAAAA"/>
            <w:tcMar>
              <w:top w:w="15" w:type="dxa"/>
              <w:left w:w="15" w:type="dxa"/>
              <w:right w:w="15" w:type="dxa"/>
            </w:tcMar>
            <w:vAlign w:val="bottom"/>
          </w:tcPr>
          <w:p w14:paraId="27B4181F" w14:textId="506469B1"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b/>
                <w:bCs/>
                <w:color w:val="000000" w:themeColor="text1"/>
              </w:rPr>
              <w:t>Affordability (RHNA)</w:t>
            </w:r>
          </w:p>
        </w:tc>
        <w:tc>
          <w:tcPr>
            <w:tcW w:w="1170"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bottom"/>
          </w:tcPr>
          <w:p w14:paraId="790A885B" w14:textId="720EC2B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b/>
                <w:bCs/>
                <w:color w:val="000000" w:themeColor="text1"/>
              </w:rPr>
              <w:t>Brentwood</w:t>
            </w:r>
          </w:p>
        </w:tc>
        <w:tc>
          <w:tcPr>
            <w:tcW w:w="1170" w:type="dxa"/>
            <w:tcBorders>
              <w:top w:val="single" w:sz="4" w:space="0" w:color="auto"/>
              <w:left w:val="single" w:sz="4" w:space="0" w:color="auto"/>
              <w:bottom w:val="single" w:sz="4" w:space="0" w:color="auto"/>
              <w:right w:val="single" w:sz="4" w:space="0" w:color="auto"/>
            </w:tcBorders>
            <w:shd w:val="clear" w:color="auto" w:fill="DBDBDB"/>
            <w:tcMar>
              <w:top w:w="15" w:type="dxa"/>
              <w:left w:w="15" w:type="dxa"/>
              <w:right w:w="15" w:type="dxa"/>
            </w:tcMar>
            <w:vAlign w:val="bottom"/>
          </w:tcPr>
          <w:p w14:paraId="2C498AD2" w14:textId="3B44E453"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b/>
                <w:bCs/>
                <w:color w:val="000000" w:themeColor="text1"/>
              </w:rPr>
              <w:t>RPC Region</w:t>
            </w:r>
          </w:p>
        </w:tc>
        <w:tc>
          <w:tcPr>
            <w:tcW w:w="1260" w:type="dxa"/>
            <w:tcBorders>
              <w:top w:val="single" w:sz="4" w:space="0" w:color="auto"/>
              <w:left w:val="single" w:sz="4" w:space="0" w:color="auto"/>
              <w:bottom w:val="single" w:sz="4" w:space="0" w:color="auto"/>
              <w:right w:val="single" w:sz="4" w:space="0" w:color="auto"/>
            </w:tcBorders>
            <w:shd w:val="clear" w:color="auto" w:fill="DBDBDB"/>
            <w:tcMar>
              <w:top w:w="15" w:type="dxa"/>
              <w:left w:w="15" w:type="dxa"/>
              <w:right w:w="15" w:type="dxa"/>
            </w:tcMar>
            <w:vAlign w:val="bottom"/>
          </w:tcPr>
          <w:p w14:paraId="0F60CE42" w14:textId="354FBC42"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b/>
                <w:bCs/>
                <w:color w:val="000000" w:themeColor="text1"/>
              </w:rPr>
              <w:t>State of NH</w:t>
            </w:r>
          </w:p>
        </w:tc>
      </w:tr>
      <w:tr w:rsidR="2ED66381" w14:paraId="5FEB8DE4" w14:textId="77777777" w:rsidTr="00A140CC">
        <w:trPr>
          <w:trHeight w:val="31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CB5D6A0" w14:textId="6D0D6AD0"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 Individuals Living Below Poverty Level</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38EB3241" w14:textId="0802D0A2"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47</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C039F50" w14:textId="08E21322"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9518</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BCE8A13" w14:textId="502C65B2"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97,418</w:t>
            </w:r>
          </w:p>
        </w:tc>
      </w:tr>
      <w:tr w:rsidR="2ED66381" w14:paraId="313FB3A3" w14:textId="77777777" w:rsidTr="00A140CC">
        <w:trPr>
          <w:trHeight w:val="31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25D9D0F" w14:textId="48871E9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2015</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595624BC" w14:textId="7BDFCD65"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-339</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42FE18FD" w14:textId="6802DA5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-746</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A33F215" w14:textId="621BC42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-16,422</w:t>
            </w:r>
          </w:p>
        </w:tc>
      </w:tr>
      <w:tr w:rsidR="2ED66381" w14:paraId="20314B9E" w14:textId="77777777" w:rsidTr="00A140CC">
        <w:trPr>
          <w:trHeight w:val="31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D992EF0" w14:textId="622034D3"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 Families with children below poverty level</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5AF51DAE" w14:textId="050D4A54"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0</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D5561D6" w14:textId="7D9898B5"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1806</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FC9BED6" w14:textId="6B393ABA"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11,298</w:t>
            </w:r>
          </w:p>
        </w:tc>
      </w:tr>
      <w:tr w:rsidR="2ED66381" w14:paraId="640186EA"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061971B" w14:textId="754310C5"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lastRenderedPageBreak/>
              <w:t>change since 2015</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73BA20DA" w14:textId="3790A50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-52</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F671449" w14:textId="2E68183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-427</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A276489" w14:textId="2270FAB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-3,664</w:t>
            </w:r>
          </w:p>
        </w:tc>
      </w:tr>
      <w:tr w:rsidR="2ED66381" w14:paraId="35C1F6E4"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710885A" w14:textId="54A8EE9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2010</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3221C3DD" w14:textId="2F1D8F9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-13</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4F5AC0C" w14:textId="5CFB5607"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206</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1673797" w14:textId="3922A42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-2101</w:t>
            </w:r>
          </w:p>
        </w:tc>
      </w:tr>
      <w:tr w:rsidR="2ED66381" w14:paraId="3E3930E0"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15F96A1" w14:textId="1D5DECCE"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Median Household Income</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47501B5D" w14:textId="2C0F2EA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$143,538</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14CE557" w14:textId="31389B08"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$107,144</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0F4D55E" w14:textId="36831152"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$70,851</w:t>
            </w:r>
          </w:p>
        </w:tc>
      </w:tr>
      <w:tr w:rsidR="2ED66381" w14:paraId="49188786"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B5B9CA7" w14:textId="1EB767B5"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2015</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321A367B" w14:textId="294BA54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$42,148</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7759F9F" w14:textId="63C8E98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$21,124</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9F06E9C" w14:textId="739B8CF0"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$10,202</w:t>
            </w:r>
          </w:p>
        </w:tc>
      </w:tr>
      <w:tr w:rsidR="2ED66381" w14:paraId="4DD0C676"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226427B" w14:textId="5FD5D35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2010</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4B097893" w14:textId="7ACC6FE7"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$31,038</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5F563C8" w14:textId="2EEBE2C3"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$26,092</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C13DADA" w14:textId="5D65A9FA"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$13,859</w:t>
            </w:r>
          </w:p>
        </w:tc>
      </w:tr>
      <w:tr w:rsidR="2ED66381" w14:paraId="3D67D473"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64C77A8" w14:textId="7E402D2C"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Median Home Sale Price</w:t>
            </w:r>
            <w:r w:rsidR="00BD3655" w:rsidRPr="00A140CC">
              <w:rPr>
                <w:rFonts w:asciiTheme="majorHAnsi" w:eastAsia="Calibri" w:hAnsiTheme="majorHAnsi" w:cstheme="majorHAnsi"/>
                <w:color w:val="000000" w:themeColor="text1"/>
              </w:rPr>
              <w:t xml:space="preserve"> (Zillow</w:t>
            </w:r>
            <w:r w:rsidR="00404393" w:rsidRPr="00A140CC">
              <w:rPr>
                <w:rFonts w:asciiTheme="majorHAnsi" w:eastAsia="Calibri" w:hAnsiTheme="majorHAnsi" w:cstheme="majorHAnsi"/>
                <w:color w:val="000000" w:themeColor="text1"/>
              </w:rPr>
              <w:t>.com)</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2C57D897" w14:textId="120AF19C" w:rsidR="2ED66381" w:rsidRPr="00A140CC" w:rsidRDefault="00404393"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$639,123</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4AFFD47" w14:textId="18E20808"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$527,000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93938C8" w14:textId="67C8309B"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$403,000</w:t>
            </w:r>
          </w:p>
        </w:tc>
      </w:tr>
      <w:tr w:rsidR="2ED66381" w14:paraId="7C2A9919"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6B949B8" w14:textId="1416BA4D"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2015</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6A35064E" w14:textId="0A4212EB" w:rsidR="2ED66381" w:rsidRPr="00A140CC" w:rsidRDefault="005D3C06"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w:t>
            </w:r>
            <w:r w:rsidR="00477323" w:rsidRPr="00A140CC">
              <w:rPr>
                <w:rFonts w:asciiTheme="majorHAnsi" w:eastAsia="Calibri" w:hAnsiTheme="majorHAnsi" w:cstheme="majorHAnsi"/>
                <w:color w:val="000000" w:themeColor="text1"/>
              </w:rPr>
              <w:t>264,123</w:t>
            </w:r>
            <w:r w:rsidR="2ED66381" w:rsidRPr="00A140CC">
              <w:rPr>
                <w:rFonts w:asciiTheme="majorHAnsi" w:eastAsia="Calibri" w:hAnsiTheme="majorHAnsi" w:cstheme="majorHAnsi"/>
                <w:color w:val="000000" w:themeColor="text1"/>
              </w:rPr>
              <w:t>-</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E3B0D16" w14:textId="21529AE0"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$192,000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4DF870B2" w14:textId="5B6E976B"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$158,073</w:t>
            </w:r>
          </w:p>
        </w:tc>
      </w:tr>
      <w:tr w:rsidR="2ED66381" w14:paraId="1D836EBA"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36691B5" w14:textId="6632414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2010</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2AFCB8E0" w14:textId="6B70F22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8A5A043" w14:textId="6B8C5149"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$272,000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BFFEE36" w14:textId="004868F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$218,500</w:t>
            </w:r>
          </w:p>
        </w:tc>
      </w:tr>
      <w:tr w:rsidR="2ED66381" w14:paraId="47A5464C"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823524A" w14:textId="00ACDE93"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Gross Rent by #Bedrooms - ALL (2022)</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31A2BB99" w14:textId="034543C5"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45C198D3" w14:textId="4C376BD3"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$1,595</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72366AA" w14:textId="400C771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$1,790</w:t>
            </w:r>
          </w:p>
        </w:tc>
      </w:tr>
      <w:tr w:rsidR="2ED66381" w14:paraId="023992B1" w14:textId="77777777" w:rsidTr="00A140CC">
        <w:trPr>
          <w:trHeight w:val="31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69A123B" w14:textId="02012C3C"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2017</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3D52AA89" w14:textId="759D5D85"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436E0B44" w14:textId="66772CF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$238</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858626F" w14:textId="44C7BB99"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$348</w:t>
            </w:r>
          </w:p>
        </w:tc>
      </w:tr>
      <w:tr w:rsidR="2ED66381" w14:paraId="02040138"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D410CDD" w14:textId="2158A8F5"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2012</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2D56C0CF" w14:textId="32B3DBD2"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68C3CBB" w14:textId="6182C9D4"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$481</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B2B0273" w14:textId="07A9AB7B"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$529</w:t>
            </w:r>
          </w:p>
        </w:tc>
      </w:tr>
      <w:tr w:rsidR="2ED66381" w14:paraId="117DB02F"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D770598" w14:textId="721E248C"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FMR 3-bed (2023)</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262DBA4F" w14:textId="1EC4A082"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$2,034</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7CBE59B3" w14:textId="5E8C5BF0"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$2,168</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9FBB5D8" w14:textId="277599A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$2,290</w:t>
            </w:r>
          </w:p>
        </w:tc>
      </w:tr>
      <w:tr w:rsidR="2ED66381" w14:paraId="7F6A5FD8"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2C4B564" w14:textId="67437F7D"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income burden &gt; 30% (2020)</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007105F8" w14:textId="26D5AB6A"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28.3%</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0769277" w14:textId="15292D23"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42.4%</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43397772" w14:textId="1518367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41.2%</w:t>
            </w:r>
          </w:p>
        </w:tc>
      </w:tr>
      <w:tr w:rsidR="2ED66381" w14:paraId="0177A2DF"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7EC2518" w14:textId="63FE0875"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income burden &gt; 30% (2015)</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4198A13F" w14:textId="79BEA614"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53.0%</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78B58AA" w14:textId="61E7EAB7"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41.5%</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53DA763" w14:textId="0FDC5374"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42.9%</w:t>
            </w:r>
          </w:p>
        </w:tc>
      </w:tr>
      <w:tr w:rsidR="2ED66381" w14:paraId="7E478900"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C1D5F66" w14:textId="0344ADB6"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income burden &gt; 30% (2010)</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0D010FE2" w14:textId="097C8EB7"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37.7%</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3693E15" w14:textId="1BC54818"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44.6%</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774AEBA2" w14:textId="0C1C03E0"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45.5%</w:t>
            </w:r>
          </w:p>
        </w:tc>
      </w:tr>
      <w:tr w:rsidR="2ED66381" w14:paraId="640CC236"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5144B72" w14:textId="0A14D78A"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NHHFA Median Purchase Price (2021)</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1FA0203B" w14:textId="106A4CF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$550,000</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A450011" w14:textId="065307D7"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$466,000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C21F15B" w14:textId="111C584B"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$350,000</w:t>
            </w:r>
          </w:p>
        </w:tc>
      </w:tr>
      <w:tr w:rsidR="2ED66381" w14:paraId="420701B1"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7F69C9C" w14:textId="08583B48"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2016</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6F424B57" w14:textId="6B968545"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$169,000</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32157B6" w14:textId="222A0008"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$155,800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5E200AF" w14:textId="07DA2F53"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$120,000</w:t>
            </w:r>
          </w:p>
        </w:tc>
      </w:tr>
      <w:tr w:rsidR="2ED66381" w14:paraId="6F628592"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F46BB2B" w14:textId="2BB3F1EC"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2011</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110D7A85" w14:textId="2F31F493"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B60CDC5" w14:textId="5304A24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$196,067</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88D4181" w14:textId="4ED64B1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$143,000</w:t>
            </w:r>
          </w:p>
        </w:tc>
      </w:tr>
      <w:tr w:rsidR="2ED66381" w14:paraId="074AB255"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BBA9BAF" w14:textId="2F10CEA3"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NHHFA Number of Sales (2021)</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33F6B7C3" w14:textId="3CAAE5C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57</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5D6E6C4" w14:textId="18FFC50C"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2993</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7B056265" w14:textId="004B37F8"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20,014</w:t>
            </w:r>
          </w:p>
        </w:tc>
      </w:tr>
      <w:tr w:rsidR="2ED66381" w14:paraId="20183491"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667C45F" w14:textId="2336ED5C"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2016</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11008D9E" w14:textId="5002695C"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5</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435D47C" w14:textId="1B533FC7"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-599</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76E8C68" w14:textId="7D5D302D"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-2,850</w:t>
            </w:r>
          </w:p>
        </w:tc>
      </w:tr>
      <w:tr w:rsidR="2ED66381" w14:paraId="3CA2FD38"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E844C69" w14:textId="358DE29C"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2011</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2E6D070C" w14:textId="1C4D85B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8</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107AD00" w14:textId="16DDDC19"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1416</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A1D96F2" w14:textId="3BA085B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10,171</w:t>
            </w:r>
          </w:p>
        </w:tc>
      </w:tr>
      <w:tr w:rsidR="2ED66381" w14:paraId="04889A31"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662697C" w14:textId="7BB1C9C7"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HUD Estimated Maximum Affordable Purchase Price - 80% (2023)</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4AEC437C" w14:textId="6513AB32"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$325,500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4359D76" w14:textId="406E9445"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$326,166.67</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839B40A" w14:textId="62FB1FD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$309,142.86</w:t>
            </w:r>
          </w:p>
        </w:tc>
      </w:tr>
      <w:tr w:rsidR="2ED66381" w14:paraId="2A07D925"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C9BBEAA" w14:textId="1740D3EB"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2021</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53E1566F" w14:textId="0A889CF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-$13,000</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AAD31BC" w14:textId="2FE7C64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-$36,500.00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469AE9D8" w14:textId="06057E8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-$30,714.28</w:t>
            </w:r>
          </w:p>
        </w:tc>
      </w:tr>
      <w:tr w:rsidR="2ED66381" w14:paraId="4BF3A6CB"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05E7AE8" w14:textId="21E800C4"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2019</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7C6B9822" w14:textId="1E72DCA4"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$73,500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5825FD6" w14:textId="1B95F60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$50,166.67</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2A2C2BF" w14:textId="51726CF7"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$41,642.86</w:t>
            </w:r>
          </w:p>
        </w:tc>
      </w:tr>
      <w:tr w:rsidR="2ED66381" w14:paraId="1348EAE6"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599ABAD" w14:textId="326F152A"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HUD Estimated Maximum Affordable Purchase Price - 100% (2023)</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541CBBB9" w14:textId="0FD0DB4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$407,000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ED49416" w14:textId="08A3E773"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$407,833.34</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707833E" w14:textId="6A6985F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$386,500</w:t>
            </w:r>
          </w:p>
        </w:tc>
      </w:tr>
      <w:tr w:rsidR="2ED66381" w14:paraId="29BEF7E2"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1FA538F" w14:textId="46563298"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2021</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51420C1C" w14:textId="2C8F07F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-$16,000</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5D7480D" w14:textId="491C9362"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-$45,500.00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73B03DAB" w14:textId="4A275ED8"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-$38,214.29</w:t>
            </w:r>
          </w:p>
        </w:tc>
      </w:tr>
      <w:tr w:rsidR="2ED66381" w14:paraId="0790917B"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3E257C3" w14:textId="58B733A7"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2019</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06640953" w14:textId="7BE701DB"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$94,500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A3907FB" w14:textId="5EC27075"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$59,666.67</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9D4CC15" w14:textId="5C1AAA98"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$55,714.29</w:t>
            </w:r>
          </w:p>
        </w:tc>
      </w:tr>
      <w:tr w:rsidR="2ED66381" w14:paraId="71CEA6BF"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7CE0791" w14:textId="3BE2CA12"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HUD Estimated Maximum Affordable Monthly Rent - 60% (2023)</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0B00E0CD" w14:textId="25031650"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$1,840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2743FEF" w14:textId="24F70958"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$1,820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40ADEBB" w14:textId="74EF4F73"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$1,747.14</w:t>
            </w:r>
          </w:p>
        </w:tc>
      </w:tr>
      <w:tr w:rsidR="2ED66381" w14:paraId="3730A383"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1EE1596" w14:textId="5830E4A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2021</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71635EE8" w14:textId="2A9B0254"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$400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7DF088A" w14:textId="26A8C26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$323.33</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266F35D" w14:textId="170BE0B5"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$311.43</w:t>
            </w:r>
          </w:p>
        </w:tc>
      </w:tr>
      <w:tr w:rsidR="2ED66381" w14:paraId="03F2598B"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7C87510" w14:textId="00857348"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2019</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0BA49CCF" w14:textId="6A1FABC9"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$570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AD435D6" w14:textId="18FC6F7D"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$426.66</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0C20572" w14:textId="1378372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$395.71</w:t>
            </w:r>
          </w:p>
        </w:tc>
      </w:tr>
      <w:tr w:rsidR="2ED66381" w14:paraId="695801BB"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1FEEC0A" w14:textId="17A68F47"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Ownership HUD Median Area Income for Family of 4 - 80% (2023)</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652C972F" w14:textId="763D6D5A"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$108,800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35FD34F" w14:textId="742560D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$107,706.67</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4FC0158" w14:textId="0E00E774"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$103,474.29</w:t>
            </w:r>
          </w:p>
        </w:tc>
      </w:tr>
      <w:tr w:rsidR="2ED66381" w14:paraId="0C5C6CCE"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65D75E8" w14:textId="5AC665BA"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2021</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4BE07981" w14:textId="7302F46C"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$23,520</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74C3DCDD" w14:textId="256EA0D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$18,960.00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92D1A92" w14:textId="186EF094"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$18,365.72</w:t>
            </w:r>
          </w:p>
        </w:tc>
      </w:tr>
      <w:tr w:rsidR="2ED66381" w14:paraId="1EE0AFF8"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F256798" w14:textId="60E1142A"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2019</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7413B8F3" w14:textId="2482207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$33,360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B6864C1" w14:textId="3066E79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$25,120.00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49BB0DD8" w14:textId="267A7526"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$23,428.58</w:t>
            </w:r>
          </w:p>
        </w:tc>
      </w:tr>
      <w:tr w:rsidR="2ED66381" w14:paraId="7AE7B6D0"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344DDEA" w14:textId="6AC2390A"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Ownership HUD Median Area Income for Family of 4 - 100% (2023)</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0F172502" w14:textId="357A6884"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$136,000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9FE3FFE" w14:textId="0627064B"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$134,633.34</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6E1BF740" w14:textId="7A0C6C3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$129,342.86</w:t>
            </w:r>
          </w:p>
        </w:tc>
      </w:tr>
      <w:tr w:rsidR="2ED66381" w14:paraId="07FBBFC8"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ACD8F7B" w14:textId="622B0B7C"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2021</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59881716" w14:textId="6524062D"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$29,400</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57B6D2A9" w14:textId="78F94F8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$23,700.00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706BE217" w14:textId="73085512"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$22,957.15</w:t>
            </w:r>
          </w:p>
        </w:tc>
      </w:tr>
      <w:tr w:rsidR="2ED66381" w14:paraId="7F1A8E04"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5198168" w14:textId="2C92A6E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2019</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1270101E" w14:textId="02F6705A"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$41,700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34D1030B" w14:textId="1D7CFF8B"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$31,400.00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7141B3DA" w14:textId="01B28A3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$29,285.72</w:t>
            </w:r>
          </w:p>
        </w:tc>
      </w:tr>
      <w:tr w:rsidR="2ED66381" w14:paraId="68F8DA20"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57F056E" w14:textId="6DB2A7A9" w:rsidR="2ED66381" w:rsidRPr="00A140CC" w:rsidRDefault="2ED66381" w:rsidP="2ED66381">
            <w:pPr>
              <w:spacing w:before="0" w:after="0"/>
              <w:rPr>
                <w:rFonts w:asciiTheme="majorHAnsi" w:hAnsiTheme="majorHAnsi" w:cstheme="majorHAnsi"/>
              </w:rPr>
            </w:pPr>
            <w:r w:rsidRPr="00A140CC">
              <w:rPr>
                <w:rFonts w:asciiTheme="majorHAnsi" w:eastAsia="Calibri" w:hAnsiTheme="majorHAnsi" w:cstheme="majorHAnsi"/>
                <w:color w:val="000000" w:themeColor="text1"/>
              </w:rPr>
              <w:t>Renter HUD Median Area Income Adjusted Family of 3 - 60% (2023)</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29C1B60B" w14:textId="640DD0F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$1,840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745C36F5" w14:textId="55CB1393"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$72,700</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41260D8" w14:textId="71E1E69C"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$69,845.71</w:t>
            </w:r>
          </w:p>
        </w:tc>
      </w:tr>
      <w:tr w:rsidR="2ED66381" w14:paraId="3F875951"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840E639" w14:textId="5C5F7FA0"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lastRenderedPageBreak/>
              <w:t>change since 2021</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37195392" w14:textId="572236F1"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$400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0ED69664" w14:textId="4A4DC224"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$12,796.66</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2F5897DB" w14:textId="00E68FCE"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$12,398.57</w:t>
            </w:r>
          </w:p>
        </w:tc>
      </w:tr>
      <w:tr w:rsidR="2ED66381" w14:paraId="3226C2CB" w14:textId="77777777" w:rsidTr="00A140CC">
        <w:trPr>
          <w:trHeight w:val="285"/>
        </w:trPr>
        <w:tc>
          <w:tcPr>
            <w:tcW w:w="62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B9D668C" w14:textId="53A74543"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i/>
                <w:iCs/>
                <w:color w:val="000000" w:themeColor="text1"/>
              </w:rPr>
              <w:t>change since 2019</w:t>
            </w:r>
          </w:p>
        </w:tc>
        <w:tc>
          <w:tcPr>
            <w:tcW w:w="117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center"/>
          </w:tcPr>
          <w:p w14:paraId="7952049C" w14:textId="62DE59BF"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 xml:space="preserve">$570 </w:t>
            </w:r>
          </w:p>
        </w:tc>
        <w:tc>
          <w:tcPr>
            <w:tcW w:w="117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7B6EC2BB" w14:textId="4978058C"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$16,956.66</w:t>
            </w:r>
          </w:p>
        </w:tc>
        <w:tc>
          <w:tcPr>
            <w:tcW w:w="1260" w:type="dxa"/>
            <w:tcBorders>
              <w:top w:val="single" w:sz="4" w:space="0" w:color="auto"/>
              <w:left w:val="single" w:sz="4" w:space="0" w:color="auto"/>
              <w:bottom w:val="single" w:sz="4" w:space="0" w:color="auto"/>
              <w:right w:val="single" w:sz="4" w:space="0" w:color="auto"/>
            </w:tcBorders>
            <w:shd w:val="clear" w:color="auto" w:fill="EDEDED"/>
            <w:tcMar>
              <w:top w:w="15" w:type="dxa"/>
              <w:left w:w="15" w:type="dxa"/>
              <w:right w:w="15" w:type="dxa"/>
            </w:tcMar>
            <w:vAlign w:val="center"/>
          </w:tcPr>
          <w:p w14:paraId="1197D468" w14:textId="3E15116B" w:rsidR="2ED66381" w:rsidRPr="00A140CC" w:rsidRDefault="2ED66381" w:rsidP="2ED66381">
            <w:pPr>
              <w:spacing w:before="0" w:after="0"/>
              <w:jc w:val="right"/>
              <w:rPr>
                <w:rFonts w:asciiTheme="majorHAnsi" w:hAnsiTheme="majorHAnsi" w:cstheme="majorHAnsi"/>
              </w:rPr>
            </w:pPr>
            <w:r w:rsidRPr="00A140CC">
              <w:rPr>
                <w:rFonts w:asciiTheme="majorHAnsi" w:eastAsia="Calibri" w:hAnsiTheme="majorHAnsi" w:cstheme="majorHAnsi"/>
                <w:color w:val="000000" w:themeColor="text1"/>
              </w:rPr>
              <w:t>$15,815.71</w:t>
            </w:r>
          </w:p>
        </w:tc>
      </w:tr>
    </w:tbl>
    <w:p w14:paraId="3C9DC1BC" w14:textId="77777777" w:rsidR="00A140CC" w:rsidRDefault="00A140CC" w:rsidP="00A140CC"/>
    <w:p w14:paraId="50A409F1" w14:textId="6FD0E994" w:rsidR="00C8122C" w:rsidRDefault="00ED06B5" w:rsidP="00A140CC">
      <w:pPr>
        <w:pStyle w:val="Heading1"/>
      </w:pPr>
      <w:r w:rsidRPr="35A9D9A4">
        <w:t>New Hampshire Statewide Housing Needs Assessment</w:t>
      </w:r>
    </w:p>
    <w:p w14:paraId="0EBF57E8" w14:textId="79FFECBE" w:rsidR="007057C8" w:rsidRDefault="00A140CC" w:rsidP="00A140CC">
      <w:r w:rsidRPr="35A9D9A4">
        <w:t xml:space="preserve">Under RSA 36:47(II), each regional planning commission </w:t>
      </w:r>
      <w:r>
        <w:t>must</w:t>
      </w:r>
      <w:r w:rsidRPr="35A9D9A4">
        <w:t xml:space="preserve"> compile a regional housing needs assessment</w:t>
      </w:r>
      <w:r w:rsidR="007057C8">
        <w:t xml:space="preserve"> (RHNA)</w:t>
      </w:r>
      <w:r w:rsidRPr="35A9D9A4">
        <w:t xml:space="preserve">, </w:t>
      </w:r>
      <w:r>
        <w:t>including</w:t>
      </w:r>
      <w:r w:rsidRPr="35A9D9A4">
        <w:t xml:space="preserve"> an assessment of the regional need for housing for persons and families of all levels of income. The regional housing needs assessment </w:t>
      </w:r>
      <w:r w:rsidR="007057C8">
        <w:t>must be</w:t>
      </w:r>
      <w:r w:rsidRPr="35A9D9A4">
        <w:t xml:space="preserve"> updated every 5 years and made available to all municipalities in the planning region. </w:t>
      </w:r>
      <w:bookmarkStart w:id="0" w:name="_Int_wADaElFy"/>
      <w:bookmarkStart w:id="1" w:name="_Int_bKj1eSas"/>
      <w:r w:rsidR="007057C8" w:rsidRPr="35A9D9A4">
        <w:t xml:space="preserve">The 2023 assessment was completed in collaboration with the nine NH Regional Planning Commissions through a statewide effort, initiated by the Council on Housing Stability 2021-2024 Strategic Plan </w:t>
      </w:r>
      <w:r w:rsidR="007057C8">
        <w:t>created under</w:t>
      </w:r>
      <w:r w:rsidR="007057C8" w:rsidRPr="35A9D9A4">
        <w:t xml:space="preserve"> Governor Sununu.</w:t>
      </w:r>
      <w:bookmarkEnd w:id="0"/>
    </w:p>
    <w:p w14:paraId="2425A382" w14:textId="483D6465" w:rsidR="007057C8" w:rsidRDefault="00A140CC" w:rsidP="00A140CC">
      <w:pPr>
        <w:rPr>
          <w:color w:val="000000" w:themeColor="text1"/>
        </w:rPr>
      </w:pPr>
      <w:r w:rsidRPr="35A9D9A4">
        <w:t xml:space="preserve">The </w:t>
      </w:r>
      <w:r w:rsidR="007057C8">
        <w:t xml:space="preserve">overall </w:t>
      </w:r>
      <w:r w:rsidRPr="35A9D9A4">
        <w:t xml:space="preserve">purpose of the </w:t>
      </w:r>
      <w:r w:rsidR="007057C8">
        <w:t>RHNA</w:t>
      </w:r>
      <w:r w:rsidRPr="35A9D9A4">
        <w:t xml:space="preserve"> is to provide current, regional, and local data </w:t>
      </w:r>
      <w:r w:rsidR="007057C8">
        <w:t xml:space="preserve">and trends </w:t>
      </w:r>
      <w:r w:rsidRPr="35A9D9A4">
        <w:t xml:space="preserve">on housing </w:t>
      </w:r>
      <w:bookmarkEnd w:id="1"/>
      <w:r w:rsidR="007057C8">
        <w:t>and to identify</w:t>
      </w:r>
      <w:r w:rsidRPr="35A9D9A4">
        <w:t xml:space="preserve"> future housing needs and opportunities. </w:t>
      </w:r>
      <w:r w:rsidR="007057C8">
        <w:t>The assessment provides</w:t>
      </w:r>
      <w:r w:rsidRPr="35A9D9A4">
        <w:t xml:space="preserve"> a foundation for communities to begin addressing housing barriers and opportunities. </w:t>
      </w:r>
      <w:r w:rsidR="007057C8">
        <w:t xml:space="preserve">The </w:t>
      </w:r>
      <w:r w:rsidR="007057C8">
        <w:rPr>
          <w:color w:val="000000" w:themeColor="text1"/>
        </w:rPr>
        <w:t>2023</w:t>
      </w:r>
      <w:r w:rsidRPr="35A9D9A4">
        <w:rPr>
          <w:color w:val="000000" w:themeColor="text1"/>
        </w:rPr>
        <w:t xml:space="preserve"> RHNA </w:t>
      </w:r>
      <w:r w:rsidR="007057C8">
        <w:rPr>
          <w:color w:val="000000" w:themeColor="text1"/>
        </w:rPr>
        <w:t>also provides</w:t>
      </w:r>
      <w:r w:rsidRPr="35A9D9A4">
        <w:rPr>
          <w:color w:val="000000" w:themeColor="text1"/>
        </w:rPr>
        <w:t xml:space="preserve"> data on housing and demographics, by income level, so that each municipality in the region can begin to understand their current and future needs. </w:t>
      </w:r>
      <w:r w:rsidR="007057C8">
        <w:rPr>
          <w:color w:val="000000" w:themeColor="text1"/>
        </w:rPr>
        <w:t>In addition, the</w:t>
      </w:r>
      <w:r w:rsidRPr="35A9D9A4">
        <w:rPr>
          <w:color w:val="000000" w:themeColor="text1"/>
        </w:rPr>
        <w:t xml:space="preserve"> RHNA may assist municipalities in determining compliance with the Workforce Housing Statute (RSA 674:58-61). </w:t>
      </w:r>
    </w:p>
    <w:p w14:paraId="12169A2E" w14:textId="77777777" w:rsidR="007057C8" w:rsidRDefault="007057C8" w:rsidP="007057C8">
      <w:pPr>
        <w:pStyle w:val="Heading2"/>
      </w:pPr>
      <w:r>
        <w:t>Housing “Fair Share”</w:t>
      </w:r>
    </w:p>
    <w:p w14:paraId="23C6FEEE" w14:textId="5526943F" w:rsidR="007057C8" w:rsidRPr="007057C8" w:rsidRDefault="00A140CC" w:rsidP="00A140CC">
      <w:pPr>
        <w:rPr>
          <w:color w:val="000000" w:themeColor="text1"/>
        </w:rPr>
      </w:pPr>
      <w:r w:rsidRPr="35A9D9A4">
        <w:rPr>
          <w:color w:val="000000" w:themeColor="text1"/>
        </w:rPr>
        <w:t xml:space="preserve">A large component of the RHNA is a Fair Share Table, which takes population projections and local housing trends to suggest what the future housing needs could be. </w:t>
      </w:r>
      <w:r w:rsidR="007057C8">
        <w:rPr>
          <w:color w:val="000000" w:themeColor="text1"/>
        </w:rPr>
        <w:t xml:space="preserve">Estimates for Brentwood are provided in the table below. </w:t>
      </w:r>
    </w:p>
    <w:tbl>
      <w:tblPr>
        <w:tblStyle w:val="TableGrid"/>
        <w:tblW w:w="0" w:type="auto"/>
        <w:tblLook w:val="04A0" w:firstRow="1" w:lastRow="0" w:firstColumn="1" w:lastColumn="0" w:noHBand="0" w:noVBand="1"/>
      </w:tblPr>
      <w:tblGrid>
        <w:gridCol w:w="3235"/>
        <w:gridCol w:w="1530"/>
        <w:gridCol w:w="1440"/>
        <w:gridCol w:w="1620"/>
        <w:gridCol w:w="1525"/>
      </w:tblGrid>
      <w:tr w:rsidR="007057C8" w14:paraId="1D400577" w14:textId="77777777" w:rsidTr="007057C8">
        <w:tc>
          <w:tcPr>
            <w:tcW w:w="3235" w:type="dxa"/>
            <w:shd w:val="clear" w:color="auto" w:fill="A6A6A6" w:themeFill="background1" w:themeFillShade="A6"/>
          </w:tcPr>
          <w:p w14:paraId="203F0F99" w14:textId="77777777" w:rsidR="00A140CC" w:rsidRPr="007057C8" w:rsidRDefault="00A140CC" w:rsidP="007057C8">
            <w:pPr>
              <w:spacing w:line="276" w:lineRule="auto"/>
              <w:rPr>
                <w:rFonts w:asciiTheme="majorHAnsi" w:eastAsia="Calibri" w:hAnsiTheme="majorHAnsi" w:cstheme="majorHAnsi"/>
                <w:b/>
                <w:bCs/>
                <w:color w:val="000000" w:themeColor="text1"/>
              </w:rPr>
            </w:pPr>
            <w:r w:rsidRPr="007057C8">
              <w:rPr>
                <w:rFonts w:asciiTheme="majorHAnsi" w:eastAsia="Calibri" w:hAnsiTheme="majorHAnsi" w:cstheme="majorHAnsi"/>
                <w:b/>
                <w:bCs/>
                <w:color w:val="000000" w:themeColor="text1"/>
              </w:rPr>
              <w:t>Projections By Year</w:t>
            </w:r>
          </w:p>
        </w:tc>
        <w:tc>
          <w:tcPr>
            <w:tcW w:w="1530" w:type="dxa"/>
            <w:shd w:val="clear" w:color="auto" w:fill="A6A6A6" w:themeFill="background1" w:themeFillShade="A6"/>
          </w:tcPr>
          <w:p w14:paraId="2E461A0E" w14:textId="77777777" w:rsidR="00A140CC" w:rsidRPr="007057C8" w:rsidRDefault="00A140CC" w:rsidP="007057C8">
            <w:pPr>
              <w:spacing w:line="276" w:lineRule="auto"/>
              <w:jc w:val="center"/>
              <w:rPr>
                <w:rFonts w:asciiTheme="majorHAnsi" w:eastAsia="Calibri" w:hAnsiTheme="majorHAnsi" w:cstheme="majorHAnsi"/>
                <w:b/>
                <w:bCs/>
                <w:color w:val="000000" w:themeColor="text1"/>
              </w:rPr>
            </w:pPr>
            <w:r w:rsidRPr="007057C8">
              <w:rPr>
                <w:rFonts w:asciiTheme="majorHAnsi" w:eastAsia="Calibri" w:hAnsiTheme="majorHAnsi" w:cstheme="majorHAnsi"/>
                <w:b/>
                <w:bCs/>
                <w:color w:val="000000" w:themeColor="text1"/>
              </w:rPr>
              <w:t>2025</w:t>
            </w:r>
          </w:p>
        </w:tc>
        <w:tc>
          <w:tcPr>
            <w:tcW w:w="1440" w:type="dxa"/>
            <w:shd w:val="clear" w:color="auto" w:fill="A6A6A6" w:themeFill="background1" w:themeFillShade="A6"/>
          </w:tcPr>
          <w:p w14:paraId="52624AC6" w14:textId="77777777" w:rsidR="00A140CC" w:rsidRPr="007057C8" w:rsidRDefault="00A140CC" w:rsidP="007057C8">
            <w:pPr>
              <w:spacing w:line="276" w:lineRule="auto"/>
              <w:jc w:val="center"/>
              <w:rPr>
                <w:rFonts w:asciiTheme="majorHAnsi" w:eastAsia="Calibri" w:hAnsiTheme="majorHAnsi" w:cstheme="majorHAnsi"/>
                <w:b/>
                <w:bCs/>
                <w:color w:val="000000" w:themeColor="text1"/>
              </w:rPr>
            </w:pPr>
            <w:r w:rsidRPr="007057C8">
              <w:rPr>
                <w:rFonts w:asciiTheme="majorHAnsi" w:eastAsia="Calibri" w:hAnsiTheme="majorHAnsi" w:cstheme="majorHAnsi"/>
                <w:b/>
                <w:bCs/>
                <w:color w:val="000000" w:themeColor="text1"/>
              </w:rPr>
              <w:t>2030</w:t>
            </w:r>
          </w:p>
        </w:tc>
        <w:tc>
          <w:tcPr>
            <w:tcW w:w="1620" w:type="dxa"/>
            <w:shd w:val="clear" w:color="auto" w:fill="A6A6A6" w:themeFill="background1" w:themeFillShade="A6"/>
          </w:tcPr>
          <w:p w14:paraId="1FDB76E8" w14:textId="77777777" w:rsidR="00A140CC" w:rsidRPr="007057C8" w:rsidRDefault="00A140CC" w:rsidP="007057C8">
            <w:pPr>
              <w:spacing w:line="276" w:lineRule="auto"/>
              <w:jc w:val="center"/>
              <w:rPr>
                <w:rFonts w:asciiTheme="majorHAnsi" w:eastAsia="Calibri" w:hAnsiTheme="majorHAnsi" w:cstheme="majorHAnsi"/>
                <w:b/>
                <w:bCs/>
                <w:color w:val="000000" w:themeColor="text1"/>
              </w:rPr>
            </w:pPr>
            <w:r w:rsidRPr="007057C8">
              <w:rPr>
                <w:rFonts w:asciiTheme="majorHAnsi" w:eastAsia="Calibri" w:hAnsiTheme="majorHAnsi" w:cstheme="majorHAnsi"/>
                <w:b/>
                <w:bCs/>
                <w:color w:val="000000" w:themeColor="text1"/>
              </w:rPr>
              <w:t>2035</w:t>
            </w:r>
          </w:p>
        </w:tc>
        <w:tc>
          <w:tcPr>
            <w:tcW w:w="1525" w:type="dxa"/>
            <w:shd w:val="clear" w:color="auto" w:fill="A6A6A6" w:themeFill="background1" w:themeFillShade="A6"/>
          </w:tcPr>
          <w:p w14:paraId="416D681D" w14:textId="77777777" w:rsidR="00A140CC" w:rsidRPr="007057C8" w:rsidRDefault="00A140CC" w:rsidP="007057C8">
            <w:pPr>
              <w:spacing w:line="276" w:lineRule="auto"/>
              <w:jc w:val="center"/>
              <w:rPr>
                <w:rFonts w:asciiTheme="majorHAnsi" w:eastAsia="Calibri" w:hAnsiTheme="majorHAnsi" w:cstheme="majorHAnsi"/>
                <w:b/>
                <w:bCs/>
                <w:color w:val="000000" w:themeColor="text1"/>
              </w:rPr>
            </w:pPr>
            <w:r w:rsidRPr="007057C8">
              <w:rPr>
                <w:rFonts w:asciiTheme="majorHAnsi" w:eastAsia="Calibri" w:hAnsiTheme="majorHAnsi" w:cstheme="majorHAnsi"/>
                <w:b/>
                <w:bCs/>
                <w:color w:val="000000" w:themeColor="text1"/>
              </w:rPr>
              <w:t>2040</w:t>
            </w:r>
          </w:p>
        </w:tc>
      </w:tr>
      <w:tr w:rsidR="00A140CC" w14:paraId="3E5F927B" w14:textId="77777777" w:rsidTr="007057C8">
        <w:tc>
          <w:tcPr>
            <w:tcW w:w="3235" w:type="dxa"/>
          </w:tcPr>
          <w:p w14:paraId="3C1E7368" w14:textId="77777777" w:rsidR="00A140CC" w:rsidRDefault="00A140CC" w:rsidP="00974D6A">
            <w:r>
              <w:t>Total Units Needed (cumulative)</w:t>
            </w:r>
          </w:p>
        </w:tc>
        <w:tc>
          <w:tcPr>
            <w:tcW w:w="1530" w:type="dxa"/>
          </w:tcPr>
          <w:p w14:paraId="773E3A10" w14:textId="77777777" w:rsidR="00A140CC" w:rsidRDefault="00A140CC" w:rsidP="007057C8">
            <w:pPr>
              <w:jc w:val="center"/>
            </w:pPr>
            <w:r>
              <w:t>108</w:t>
            </w:r>
          </w:p>
        </w:tc>
        <w:tc>
          <w:tcPr>
            <w:tcW w:w="1440" w:type="dxa"/>
          </w:tcPr>
          <w:p w14:paraId="29467D7C" w14:textId="77777777" w:rsidR="00A140CC" w:rsidRDefault="00A140CC" w:rsidP="007057C8">
            <w:pPr>
              <w:jc w:val="center"/>
            </w:pPr>
            <w:r>
              <w:t>198</w:t>
            </w:r>
          </w:p>
        </w:tc>
        <w:tc>
          <w:tcPr>
            <w:tcW w:w="1620" w:type="dxa"/>
          </w:tcPr>
          <w:p w14:paraId="1048D9B0" w14:textId="77777777" w:rsidR="00A140CC" w:rsidRDefault="00A140CC" w:rsidP="007057C8">
            <w:pPr>
              <w:jc w:val="center"/>
            </w:pPr>
            <w:r>
              <w:t>260</w:t>
            </w:r>
          </w:p>
        </w:tc>
        <w:tc>
          <w:tcPr>
            <w:tcW w:w="1525" w:type="dxa"/>
          </w:tcPr>
          <w:p w14:paraId="55D3EE08" w14:textId="77777777" w:rsidR="00A140CC" w:rsidRDefault="00A140CC" w:rsidP="007057C8">
            <w:pPr>
              <w:jc w:val="center"/>
            </w:pPr>
            <w:r>
              <w:t>294</w:t>
            </w:r>
          </w:p>
        </w:tc>
      </w:tr>
      <w:tr w:rsidR="00A140CC" w14:paraId="78EEED89" w14:textId="77777777" w:rsidTr="007057C8">
        <w:tc>
          <w:tcPr>
            <w:tcW w:w="3235" w:type="dxa"/>
          </w:tcPr>
          <w:p w14:paraId="73834FE6" w14:textId="77777777" w:rsidR="00A140CC" w:rsidRDefault="00A140CC" w:rsidP="00974D6A">
            <w:r>
              <w:t>“Affordable” Units Needed</w:t>
            </w:r>
          </w:p>
        </w:tc>
        <w:tc>
          <w:tcPr>
            <w:tcW w:w="1530" w:type="dxa"/>
          </w:tcPr>
          <w:p w14:paraId="0F9D14E2" w14:textId="77777777" w:rsidR="00A140CC" w:rsidRDefault="00A140CC" w:rsidP="007057C8">
            <w:pPr>
              <w:jc w:val="center"/>
            </w:pPr>
            <w:r>
              <w:t>26</w:t>
            </w:r>
          </w:p>
        </w:tc>
        <w:tc>
          <w:tcPr>
            <w:tcW w:w="1440" w:type="dxa"/>
          </w:tcPr>
          <w:p w14:paraId="1836CBFD" w14:textId="77777777" w:rsidR="00A140CC" w:rsidRDefault="00A140CC" w:rsidP="007057C8">
            <w:pPr>
              <w:jc w:val="center"/>
            </w:pPr>
            <w:r>
              <w:t>47</w:t>
            </w:r>
          </w:p>
        </w:tc>
        <w:tc>
          <w:tcPr>
            <w:tcW w:w="1620" w:type="dxa"/>
          </w:tcPr>
          <w:p w14:paraId="093C70FF" w14:textId="77777777" w:rsidR="00A140CC" w:rsidRDefault="00A140CC" w:rsidP="007057C8">
            <w:pPr>
              <w:jc w:val="center"/>
            </w:pPr>
            <w:r>
              <w:t>62</w:t>
            </w:r>
          </w:p>
        </w:tc>
        <w:tc>
          <w:tcPr>
            <w:tcW w:w="1525" w:type="dxa"/>
          </w:tcPr>
          <w:p w14:paraId="6EC79012" w14:textId="77777777" w:rsidR="00A140CC" w:rsidRDefault="00A140CC" w:rsidP="007057C8">
            <w:pPr>
              <w:jc w:val="center"/>
            </w:pPr>
            <w:r>
              <w:t>70</w:t>
            </w:r>
          </w:p>
        </w:tc>
      </w:tr>
      <w:tr w:rsidR="00A140CC" w14:paraId="180226BE" w14:textId="77777777" w:rsidTr="007057C8">
        <w:tc>
          <w:tcPr>
            <w:tcW w:w="3235" w:type="dxa"/>
          </w:tcPr>
          <w:p w14:paraId="011B894C" w14:textId="77777777" w:rsidR="00A140CC" w:rsidRDefault="00A140CC" w:rsidP="00974D6A">
            <w:r>
              <w:t>Market Rate Units Needed</w:t>
            </w:r>
          </w:p>
        </w:tc>
        <w:tc>
          <w:tcPr>
            <w:tcW w:w="1530" w:type="dxa"/>
          </w:tcPr>
          <w:p w14:paraId="186EEB13" w14:textId="77777777" w:rsidR="00A140CC" w:rsidRDefault="00A140CC" w:rsidP="007057C8">
            <w:pPr>
              <w:jc w:val="center"/>
            </w:pPr>
            <w:r>
              <w:t>82</w:t>
            </w:r>
          </w:p>
        </w:tc>
        <w:tc>
          <w:tcPr>
            <w:tcW w:w="1440" w:type="dxa"/>
          </w:tcPr>
          <w:p w14:paraId="723CEFCC" w14:textId="77777777" w:rsidR="00A140CC" w:rsidRDefault="00A140CC" w:rsidP="007057C8">
            <w:pPr>
              <w:jc w:val="center"/>
            </w:pPr>
            <w:r>
              <w:t>151</w:t>
            </w:r>
          </w:p>
        </w:tc>
        <w:tc>
          <w:tcPr>
            <w:tcW w:w="1620" w:type="dxa"/>
          </w:tcPr>
          <w:p w14:paraId="26C85DC9" w14:textId="77777777" w:rsidR="00A140CC" w:rsidRDefault="00A140CC" w:rsidP="007057C8">
            <w:pPr>
              <w:jc w:val="center"/>
            </w:pPr>
            <w:r>
              <w:t>197</w:t>
            </w:r>
          </w:p>
        </w:tc>
        <w:tc>
          <w:tcPr>
            <w:tcW w:w="1525" w:type="dxa"/>
          </w:tcPr>
          <w:p w14:paraId="6FC29CB1" w14:textId="77777777" w:rsidR="00A140CC" w:rsidRDefault="00A140CC" w:rsidP="007057C8">
            <w:pPr>
              <w:jc w:val="center"/>
            </w:pPr>
            <w:r>
              <w:t>224</w:t>
            </w:r>
          </w:p>
        </w:tc>
      </w:tr>
      <w:tr w:rsidR="00A140CC" w14:paraId="2C32D049" w14:textId="77777777" w:rsidTr="007057C8">
        <w:tc>
          <w:tcPr>
            <w:tcW w:w="3235" w:type="dxa"/>
          </w:tcPr>
          <w:p w14:paraId="259504D7" w14:textId="77777777" w:rsidR="00A140CC" w:rsidRDefault="00A140CC" w:rsidP="00974D6A">
            <w:r>
              <w:t>Rental Units V. Owned Units</w:t>
            </w:r>
          </w:p>
        </w:tc>
        <w:tc>
          <w:tcPr>
            <w:tcW w:w="6115" w:type="dxa"/>
            <w:gridSpan w:val="4"/>
          </w:tcPr>
          <w:p w14:paraId="60E78053" w14:textId="71FBD84F" w:rsidR="00A140CC" w:rsidRDefault="00A140CC" w:rsidP="00974D6A">
            <w:r>
              <w:t xml:space="preserve">31.1% </w:t>
            </w:r>
            <w:r w:rsidR="007057C8">
              <w:t>r</w:t>
            </w:r>
            <w:r>
              <w:t xml:space="preserve">ental </w:t>
            </w:r>
            <w:r w:rsidR="007057C8">
              <w:t>u</w:t>
            </w:r>
            <w:r>
              <w:t>nits needed</w:t>
            </w:r>
            <w:r w:rsidR="007057C8">
              <w:t xml:space="preserve">; </w:t>
            </w:r>
            <w:r>
              <w:t xml:space="preserve">68.9% </w:t>
            </w:r>
            <w:r w:rsidR="007057C8">
              <w:t>o</w:t>
            </w:r>
            <w:r>
              <w:t xml:space="preserve">wned </w:t>
            </w:r>
            <w:r w:rsidR="007057C8">
              <w:t>u</w:t>
            </w:r>
            <w:r>
              <w:t xml:space="preserve">nits </w:t>
            </w:r>
            <w:r w:rsidR="007057C8">
              <w:t>n</w:t>
            </w:r>
            <w:r>
              <w:t>eeded</w:t>
            </w:r>
          </w:p>
        </w:tc>
      </w:tr>
    </w:tbl>
    <w:p w14:paraId="346D5C15" w14:textId="77777777" w:rsidR="00A140CC" w:rsidRDefault="00A140CC" w:rsidP="00A140CC"/>
    <w:p w14:paraId="012AFF1F" w14:textId="5C3BC64F" w:rsidR="5A17C3FC" w:rsidRDefault="5A17C3FC" w:rsidP="00A140CC">
      <w:pPr>
        <w:pStyle w:val="Heading2"/>
      </w:pPr>
      <w:r w:rsidRPr="35A9D9A4">
        <w:t xml:space="preserve">Key </w:t>
      </w:r>
      <w:r w:rsidR="007057C8">
        <w:t xml:space="preserve">RHNA </w:t>
      </w:r>
      <w:r w:rsidRPr="35A9D9A4">
        <w:t>Findings</w:t>
      </w:r>
      <w:r w:rsidR="00A140CC">
        <w:t xml:space="preserve"> (Statewide)</w:t>
      </w:r>
    </w:p>
    <w:p w14:paraId="22E8C4F2" w14:textId="381055B9" w:rsidR="5A17C3FC" w:rsidRDefault="5A17C3FC" w:rsidP="00A140CC">
      <w:pPr>
        <w:pStyle w:val="ListParagraph"/>
        <w:numPr>
          <w:ilvl w:val="0"/>
          <w:numId w:val="7"/>
        </w:numPr>
        <w:spacing w:after="160" w:line="259" w:lineRule="auto"/>
        <w:rPr>
          <w:color w:val="000000" w:themeColor="text1"/>
        </w:rPr>
      </w:pPr>
      <w:r w:rsidRPr="35A9D9A4">
        <w:rPr>
          <w:color w:val="000000" w:themeColor="text1"/>
        </w:rPr>
        <w:t>Based on estimated population growth, almost 60,000 units are needed between 2020 and 2030; nearly 90,000 units are needed between 2020 and 2040.</w:t>
      </w:r>
    </w:p>
    <w:p w14:paraId="4D1E7446" w14:textId="16CDD9B5" w:rsidR="5A17C3FC" w:rsidRDefault="5A17C3FC" w:rsidP="00A140CC">
      <w:pPr>
        <w:pStyle w:val="ListParagraph"/>
        <w:numPr>
          <w:ilvl w:val="0"/>
          <w:numId w:val="7"/>
        </w:numPr>
        <w:spacing w:after="160" w:line="259" w:lineRule="auto"/>
        <w:rPr>
          <w:color w:val="000000" w:themeColor="text1"/>
        </w:rPr>
      </w:pPr>
      <w:r w:rsidRPr="35A9D9A4">
        <w:rPr>
          <w:color w:val="000000" w:themeColor="text1"/>
        </w:rPr>
        <w:t xml:space="preserve">From 2019 to 2022, the median home price in NH rose by 50%. As a result, middle to high income renter households </w:t>
      </w:r>
      <w:proofErr w:type="gramStart"/>
      <w:r w:rsidRPr="35A9D9A4">
        <w:rPr>
          <w:color w:val="000000" w:themeColor="text1"/>
        </w:rPr>
        <w:t>are</w:t>
      </w:r>
      <w:proofErr w:type="gramEnd"/>
      <w:r w:rsidRPr="35A9D9A4">
        <w:rPr>
          <w:color w:val="000000" w:themeColor="text1"/>
        </w:rPr>
        <w:t xml:space="preserve"> less likely to become homeowners.</w:t>
      </w:r>
    </w:p>
    <w:p w14:paraId="6D01B82F" w14:textId="074CD64D" w:rsidR="5A17C3FC" w:rsidRDefault="5A17C3FC" w:rsidP="00A140CC">
      <w:pPr>
        <w:pStyle w:val="ListParagraph"/>
        <w:numPr>
          <w:ilvl w:val="0"/>
          <w:numId w:val="7"/>
        </w:numPr>
        <w:spacing w:after="160" w:line="259" w:lineRule="auto"/>
        <w:rPr>
          <w:color w:val="000000" w:themeColor="text1"/>
        </w:rPr>
      </w:pPr>
      <w:r w:rsidRPr="35A9D9A4">
        <w:rPr>
          <w:color w:val="000000" w:themeColor="text1"/>
        </w:rPr>
        <w:t>The state’s extremely low vacancy rate favors higher-income renters, as demand pushes rents beyond affordability levels for others, especially lower-income renters.</w:t>
      </w:r>
    </w:p>
    <w:p w14:paraId="3206C685" w14:textId="6F1A552F" w:rsidR="5A17C3FC" w:rsidRDefault="5A17C3FC" w:rsidP="00A140CC">
      <w:pPr>
        <w:pStyle w:val="ListParagraph"/>
        <w:numPr>
          <w:ilvl w:val="0"/>
          <w:numId w:val="7"/>
        </w:numPr>
        <w:spacing w:after="160" w:line="259" w:lineRule="auto"/>
        <w:rPr>
          <w:color w:val="000000" w:themeColor="text1"/>
        </w:rPr>
      </w:pPr>
      <w:r w:rsidRPr="35A9D9A4">
        <w:rPr>
          <w:color w:val="000000" w:themeColor="text1"/>
        </w:rPr>
        <w:lastRenderedPageBreak/>
        <w:t>Rent and home price increases outpaced wage growth. Between 2000 and 2020, New Hampshire’s home sales prices rose 111% and rents increased 94%, while household median income increased only 73%.</w:t>
      </w:r>
    </w:p>
    <w:p w14:paraId="6BF6F10E" w14:textId="519598A5" w:rsidR="5A17C3FC" w:rsidRDefault="5A17C3FC" w:rsidP="00A140CC">
      <w:pPr>
        <w:pStyle w:val="ListParagraph"/>
        <w:numPr>
          <w:ilvl w:val="0"/>
          <w:numId w:val="7"/>
        </w:numPr>
        <w:spacing w:after="160" w:line="259" w:lineRule="auto"/>
        <w:rPr>
          <w:color w:val="000000" w:themeColor="text1"/>
        </w:rPr>
      </w:pPr>
      <w:r w:rsidRPr="35A9D9A4">
        <w:rPr>
          <w:color w:val="000000" w:themeColor="text1"/>
        </w:rPr>
        <w:t>Population growth will continue to slow through 2040, and NH’s population will become older, with fewer children per household. The desire to “age in place” will continue to limit the supply of homes available to purchase.</w:t>
      </w:r>
    </w:p>
    <w:p w14:paraId="16857F0E" w14:textId="35B272B0" w:rsidR="005B7D84" w:rsidRDefault="00C41C2E" w:rsidP="00141D4D">
      <w:pPr>
        <w:pStyle w:val="Heading1"/>
      </w:pPr>
      <w:r w:rsidRPr="35A9D9A4">
        <w:t xml:space="preserve">NH Workforce Housing </w:t>
      </w:r>
      <w:r w:rsidR="13BAE766" w:rsidRPr="35A9D9A4">
        <w:t>Law</w:t>
      </w:r>
      <w:r w:rsidR="00EA6473" w:rsidRPr="35A9D9A4">
        <w:t xml:space="preserve"> </w:t>
      </w:r>
    </w:p>
    <w:p w14:paraId="565D0E62" w14:textId="39C8CD61" w:rsidR="008A62FE" w:rsidRDefault="060D1824" w:rsidP="35A9D9A4">
      <w:pPr>
        <w:spacing w:after="160" w:line="259" w:lineRule="auto"/>
        <w:jc w:val="both"/>
        <w:rPr>
          <w:color w:val="000000" w:themeColor="text1"/>
        </w:rPr>
      </w:pPr>
      <w:r w:rsidRPr="35A9D9A4">
        <w:rPr>
          <w:color w:val="000000" w:themeColor="text1"/>
        </w:rPr>
        <w:t>In 2008, the New Hampshire Legislature passed a law that requires every community to provide “reasonable and realistic opportunities” for the development of workforce housing. New Hampshire’s workforce housing statute (</w:t>
      </w:r>
      <w:hyperlink r:id="rId12">
        <w:r w:rsidRPr="35A9D9A4">
          <w:rPr>
            <w:rStyle w:val="Hyperlink"/>
          </w:rPr>
          <w:t>NH RSA 674: 58-61</w:t>
        </w:r>
      </w:hyperlink>
      <w:r w:rsidRPr="35A9D9A4">
        <w:rPr>
          <w:color w:val="000000" w:themeColor="text1"/>
        </w:rPr>
        <w:t>). The statute defines “workforce housing” and what is considered “affordable.”</w:t>
      </w:r>
    </w:p>
    <w:p w14:paraId="490304C5" w14:textId="7158A2FA" w:rsidR="008A62FE" w:rsidRDefault="060D1824" w:rsidP="35A9D9A4">
      <w:pPr>
        <w:spacing w:after="160" w:line="259" w:lineRule="auto"/>
        <w:jc w:val="both"/>
        <w:rPr>
          <w:color w:val="000000" w:themeColor="text1"/>
        </w:rPr>
      </w:pPr>
      <w:r w:rsidRPr="35A9D9A4">
        <w:rPr>
          <w:color w:val="000000" w:themeColor="text1"/>
        </w:rPr>
        <w:t xml:space="preserve">New Hampshire is not a “home rule” state, which means all municipal power derives from a Legislative grant. </w:t>
      </w:r>
      <w:hyperlink r:id="rId13">
        <w:r w:rsidRPr="35A9D9A4">
          <w:rPr>
            <w:rStyle w:val="Hyperlink"/>
          </w:rPr>
          <w:t>RSA 672:1, III-e</w:t>
        </w:r>
      </w:hyperlink>
      <w:r w:rsidRPr="35A9D9A4">
        <w:rPr>
          <w:color w:val="000000" w:themeColor="text1"/>
        </w:rPr>
        <w:t xml:space="preserve"> states that housing that is affordable to low- and moderate-income house­holds “shall not be prohibited or discouraged by use of municipal planning and zoning powers or by unreasonable interpretation of such powers.” The NH Supreme Court ruled in Britton v. Town of Chester, 134 N.H. 434 (1991), that municipalities are obliged to provide such households with a reasonable and realistic opportunity to obtain affordable housing, and that a municipality’s zoning cannot be used to prevent “outsiders of any disadvantaged social or economic group” from moving there.</w:t>
      </w:r>
    </w:p>
    <w:p w14:paraId="719D2DB2" w14:textId="3165828A" w:rsidR="008A62FE" w:rsidRDefault="0F6734CF" w:rsidP="2CAFF9FD">
      <w:r w:rsidRPr="2CAFF9FD">
        <w:t xml:space="preserve">Brentwood is within the Portsmouth-Rochester, NH HUD </w:t>
      </w:r>
      <w:r w:rsidR="00060BE6" w:rsidRPr="2CAFF9FD">
        <w:t>Metropolitan</w:t>
      </w:r>
      <w:r w:rsidRPr="2CAFF9FD">
        <w:t xml:space="preserve"> Fair Market Rent Areas (HMFA)</w:t>
      </w:r>
      <w:r w:rsidR="00060BE6">
        <w:t xml:space="preserve">, </w:t>
      </w:r>
      <w:r w:rsidRPr="2CAFF9FD">
        <w:t xml:space="preserve">which dictates the ownership prices and rent prices at which Brentwood should offer. These prices allow residents that make the Area Median Income (AMI) to be able to live in the community without great financial hardship.  </w:t>
      </w:r>
      <w:r w:rsidR="61FF29EC" w:rsidRPr="2CAFF9FD">
        <w:t xml:space="preserve">A workforce housing ordinance was removed by Town Vote in Brentwood. With the rising prices of homes, Brentwood may want to consider looking into re-establishing a workforce housing ordinance. </w:t>
      </w:r>
    </w:p>
    <w:p w14:paraId="4F160EB7" w14:textId="57601DF2" w:rsidR="008A62FE" w:rsidRDefault="0F6734CF" w:rsidP="2ED66381">
      <w:pPr>
        <w:rPr>
          <w:i/>
          <w:iCs/>
        </w:rPr>
      </w:pPr>
      <w:r w:rsidRPr="2ED66381">
        <w:rPr>
          <w:i/>
          <w:iCs/>
        </w:rPr>
        <w:t>Per RSA 674: 58 – 61 the recommended maximum purchase price for workforce housing is $</w:t>
      </w:r>
      <w:r w:rsidR="03A26C4B" w:rsidRPr="2ED66381">
        <w:rPr>
          <w:i/>
          <w:iCs/>
        </w:rPr>
        <w:t>407,0</w:t>
      </w:r>
      <w:r w:rsidRPr="2ED66381">
        <w:rPr>
          <w:i/>
          <w:iCs/>
        </w:rPr>
        <w:t>00 for those households making $1</w:t>
      </w:r>
      <w:r w:rsidR="12DAEAB4" w:rsidRPr="2ED66381">
        <w:rPr>
          <w:i/>
          <w:iCs/>
        </w:rPr>
        <w:t>36,000</w:t>
      </w:r>
      <w:r w:rsidRPr="2ED66381">
        <w:rPr>
          <w:i/>
          <w:iCs/>
        </w:rPr>
        <w:t xml:space="preserve"> and the maximum gross rent is $1,</w:t>
      </w:r>
      <w:r w:rsidR="5F31F0EF" w:rsidRPr="2ED66381">
        <w:rPr>
          <w:i/>
          <w:iCs/>
        </w:rPr>
        <w:t>84</w:t>
      </w:r>
      <w:r w:rsidRPr="2ED66381">
        <w:rPr>
          <w:i/>
          <w:iCs/>
        </w:rPr>
        <w:t>0 for households making $</w:t>
      </w:r>
      <w:r w:rsidR="77E4CBE2" w:rsidRPr="2ED66381">
        <w:rPr>
          <w:i/>
          <w:iCs/>
        </w:rPr>
        <w:t>73,440</w:t>
      </w:r>
      <w:r w:rsidRPr="2ED66381">
        <w:rPr>
          <w:i/>
          <w:iCs/>
        </w:rPr>
        <w:t>.</w:t>
      </w:r>
    </w:p>
    <w:p w14:paraId="3FA443C2" w14:textId="77777777" w:rsidR="00305FE9" w:rsidRDefault="00305FE9" w:rsidP="35A9D9A4">
      <w:pPr>
        <w:pStyle w:val="Heading2"/>
      </w:pPr>
      <w:bookmarkStart w:id="2" w:name="_Hlk187835781"/>
      <w:r w:rsidRPr="35A9D9A4">
        <w:t xml:space="preserve">Key considerations and implications for housing </w:t>
      </w:r>
    </w:p>
    <w:bookmarkEnd w:id="2"/>
    <w:p w14:paraId="5A4A8EC8" w14:textId="7176C6EF" w:rsidR="00A06335" w:rsidRPr="00700C2B" w:rsidRDefault="00305FE9" w:rsidP="30D42ED1">
      <w:pPr>
        <w:pStyle w:val="Heading3"/>
        <w:rPr>
          <w:rStyle w:val="SubtleReference"/>
          <w:color w:val="215D6A" w:themeColor="accent1" w:themeShade="7F"/>
        </w:rPr>
      </w:pPr>
      <w:r w:rsidRPr="30D42ED1">
        <w:rPr>
          <w:rStyle w:val="SubtleReference"/>
          <w:color w:val="215D6A"/>
        </w:rPr>
        <w:t xml:space="preserve">Environmental Considerations </w:t>
      </w:r>
      <w:r w:rsidR="00A06335" w:rsidRPr="30D42ED1">
        <w:rPr>
          <w:rStyle w:val="SubtleReference"/>
          <w:color w:val="215D6A"/>
        </w:rPr>
        <w:t xml:space="preserve"> </w:t>
      </w:r>
    </w:p>
    <w:p w14:paraId="03FEA603" w14:textId="683C38C1" w:rsidR="5AFBE643" w:rsidRPr="0062157A" w:rsidRDefault="5AFBE643" w:rsidP="00F34B1D">
      <w:pPr>
        <w:pStyle w:val="Heading4"/>
      </w:pPr>
      <w:r w:rsidRPr="0062157A">
        <w:rPr>
          <w:rStyle w:val="SubtleEmphasis"/>
          <w:i w:val="0"/>
          <w:iCs w:val="0"/>
        </w:rPr>
        <w:t>Rivers</w:t>
      </w:r>
    </w:p>
    <w:p w14:paraId="1C41789A" w14:textId="104744C0" w:rsidR="0704B37E" w:rsidRDefault="0704B37E" w:rsidP="1A2EAF68">
      <w:pPr>
        <w:rPr>
          <w:rFonts w:ascii="Calibri Light" w:eastAsia="Calibri Light" w:hAnsi="Calibri Light" w:cs="Calibri Light"/>
        </w:rPr>
      </w:pPr>
      <w:r w:rsidRPr="30D42ED1">
        <w:rPr>
          <w:rFonts w:ascii="Calibri Light" w:eastAsia="Calibri Light" w:hAnsi="Calibri Light" w:cs="Calibri Light"/>
        </w:rPr>
        <w:t xml:space="preserve">Protecting river shorelines helps preserve wetlands, reduces flooding damage, serves to maintain important wildlife travel </w:t>
      </w:r>
      <w:r w:rsidR="1EE9427C" w:rsidRPr="30D42ED1">
        <w:rPr>
          <w:rFonts w:ascii="Calibri Light" w:eastAsia="Calibri Light" w:hAnsi="Calibri Light" w:cs="Calibri Light"/>
        </w:rPr>
        <w:t>corridors,</w:t>
      </w:r>
      <w:r w:rsidRPr="30D42ED1">
        <w:rPr>
          <w:rFonts w:ascii="Calibri Light" w:eastAsia="Calibri Light" w:hAnsi="Calibri Light" w:cs="Calibri Light"/>
        </w:rPr>
        <w:t xml:space="preserve"> and preserves the scenic beauty and recreation value of the river. The town has a local shoreland </w:t>
      </w:r>
      <w:r w:rsidR="00396712">
        <w:rPr>
          <w:rFonts w:ascii="Calibri Light" w:eastAsia="Calibri Light" w:hAnsi="Calibri Light" w:cs="Calibri Light"/>
        </w:rPr>
        <w:t xml:space="preserve">and riparian buffer </w:t>
      </w:r>
      <w:r w:rsidRPr="30D42ED1">
        <w:rPr>
          <w:rFonts w:ascii="Calibri Light" w:eastAsia="Calibri Light" w:hAnsi="Calibri Light" w:cs="Calibri Light"/>
        </w:rPr>
        <w:t>protection district that regulates building activities within a 300-foot buffer of its five rivers and streams.</w:t>
      </w:r>
      <w:r w:rsidR="3FAC8AFC" w:rsidRPr="30D42ED1">
        <w:rPr>
          <w:rFonts w:ascii="Calibri Light" w:eastAsia="Calibri Light" w:hAnsi="Calibri Light" w:cs="Calibri Light"/>
        </w:rPr>
        <w:t xml:space="preserve"> </w:t>
      </w:r>
      <w:r w:rsidR="00396712">
        <w:rPr>
          <w:rFonts w:ascii="Calibri Light" w:eastAsia="Calibri Light" w:hAnsi="Calibri Light" w:cs="Calibri Light"/>
        </w:rPr>
        <w:t>Although land use activities are controlled within the buffer the ordinance has a more restrictive element that prohibits the construction of</w:t>
      </w:r>
      <w:r w:rsidR="00D23796">
        <w:rPr>
          <w:rFonts w:ascii="Calibri Light" w:eastAsia="Calibri Light" w:hAnsi="Calibri Light" w:cs="Calibri Light"/>
        </w:rPr>
        <w:t xml:space="preserve"> </w:t>
      </w:r>
      <w:r w:rsidR="00486E63">
        <w:rPr>
          <w:rFonts w:ascii="Calibri Light" w:eastAsia="Calibri Light" w:hAnsi="Calibri Light" w:cs="Calibri Light"/>
        </w:rPr>
        <w:t>buildings</w:t>
      </w:r>
      <w:r w:rsidR="00D23796">
        <w:rPr>
          <w:rFonts w:ascii="Calibri Light" w:eastAsia="Calibri Light" w:hAnsi="Calibri Light" w:cs="Calibri Light"/>
        </w:rPr>
        <w:t xml:space="preserve"> and septic </w:t>
      </w:r>
      <w:r w:rsidR="00D23796">
        <w:rPr>
          <w:rFonts w:ascii="Calibri Light" w:eastAsia="Calibri Light" w:hAnsi="Calibri Light" w:cs="Calibri Light"/>
        </w:rPr>
        <w:lastRenderedPageBreak/>
        <w:t xml:space="preserve">systems within 150 feet of any regulated rivers and streams.  </w:t>
      </w:r>
      <w:r w:rsidR="3FAC8AFC" w:rsidRPr="30D42ED1">
        <w:rPr>
          <w:rFonts w:ascii="Calibri Light" w:eastAsia="Calibri Light" w:hAnsi="Calibri Light" w:cs="Calibri Light"/>
        </w:rPr>
        <w:t xml:space="preserve">The Exeter River, which leads into the Great Bay, is a resource that needs to be protected. </w:t>
      </w:r>
      <w:r w:rsidR="3CFA8676" w:rsidRPr="30D42ED1">
        <w:rPr>
          <w:rFonts w:ascii="Calibri Light" w:eastAsia="Calibri Light" w:hAnsi="Calibri Light" w:cs="Calibri Light"/>
        </w:rPr>
        <w:t>Future development should be respectful of the town’s water resources</w:t>
      </w:r>
      <w:r w:rsidR="00964FC9">
        <w:rPr>
          <w:rFonts w:ascii="Calibri Light" w:eastAsia="Calibri Light" w:hAnsi="Calibri Light" w:cs="Calibri Light"/>
        </w:rPr>
        <w:t>,</w:t>
      </w:r>
      <w:r w:rsidR="3CFA8676" w:rsidRPr="30D42ED1">
        <w:rPr>
          <w:rFonts w:ascii="Calibri Light" w:eastAsia="Calibri Light" w:hAnsi="Calibri Light" w:cs="Calibri Light"/>
        </w:rPr>
        <w:t xml:space="preserve"> which could add additional cost and limit the project location. </w:t>
      </w:r>
    </w:p>
    <w:p w14:paraId="4F791BDB" w14:textId="30D5B7D9" w:rsidR="21BC6390" w:rsidRPr="00972555" w:rsidRDefault="21BC6390" w:rsidP="00F34B1D">
      <w:pPr>
        <w:pStyle w:val="Heading4"/>
      </w:pPr>
      <w:r w:rsidRPr="00972555">
        <w:t>Drinking Water</w:t>
      </w:r>
    </w:p>
    <w:p w14:paraId="3834CB40" w14:textId="64C7691D" w:rsidR="3FAC8AFC" w:rsidRDefault="00964FC9" w:rsidP="1A2EAF68">
      <w:pPr>
        <w:rPr>
          <w:rFonts w:ascii="Calibri Light" w:eastAsia="Calibri Light" w:hAnsi="Calibri Light" w:cs="Calibri Light"/>
        </w:rPr>
      </w:pPr>
      <w:r>
        <w:rPr>
          <w:rFonts w:ascii="Calibri Light" w:eastAsia="Calibri Light" w:hAnsi="Calibri Light" w:cs="Calibri Light"/>
        </w:rPr>
        <w:t xml:space="preserve">Brentwood residents rely on private wells fed by a large aquifer. </w:t>
      </w:r>
      <w:r w:rsidR="7A639DF7" w:rsidRPr="30D42ED1">
        <w:rPr>
          <w:rFonts w:ascii="Calibri Light" w:eastAsia="Calibri Light" w:hAnsi="Calibri Light" w:cs="Calibri Light"/>
        </w:rPr>
        <w:t xml:space="preserve">Stormwater management and erosion control is a priority for Brentwood to </w:t>
      </w:r>
      <w:r>
        <w:rPr>
          <w:rFonts w:ascii="Calibri Light" w:eastAsia="Calibri Light" w:hAnsi="Calibri Light" w:cs="Calibri Light"/>
        </w:rPr>
        <w:t xml:space="preserve">protect the aquifer and </w:t>
      </w:r>
      <w:r w:rsidR="7A639DF7" w:rsidRPr="30D42ED1">
        <w:rPr>
          <w:rFonts w:ascii="Calibri Light" w:eastAsia="Calibri Light" w:hAnsi="Calibri Light" w:cs="Calibri Light"/>
        </w:rPr>
        <w:t>preserve the health and safety of wells and their users.</w:t>
      </w:r>
      <w:r w:rsidR="19A0CB75" w:rsidRPr="30D42ED1">
        <w:rPr>
          <w:rFonts w:ascii="Calibri Light" w:eastAsia="Calibri Light" w:hAnsi="Calibri Light" w:cs="Calibri Light"/>
        </w:rPr>
        <w:t xml:space="preserve"> </w:t>
      </w:r>
      <w:r w:rsidR="58C315C4" w:rsidRPr="30D42ED1">
        <w:rPr>
          <w:rFonts w:ascii="Calibri Light" w:eastAsia="Calibri Light" w:hAnsi="Calibri Light" w:cs="Calibri Light"/>
        </w:rPr>
        <w:t xml:space="preserve">When stormwater goes unchecked, it can result in degradation of the quality of public and private wells. </w:t>
      </w:r>
    </w:p>
    <w:p w14:paraId="2DF0BEF1" w14:textId="291956A8" w:rsidR="00964FC9" w:rsidRDefault="00D23796" w:rsidP="00964FC9">
      <w:pPr>
        <w:rPr>
          <w:rFonts w:ascii="Calibri Light" w:eastAsia="Calibri Light" w:hAnsi="Calibri Light" w:cs="Calibri Light"/>
        </w:rPr>
      </w:pPr>
      <w:r>
        <w:rPr>
          <w:rFonts w:ascii="Calibri Light" w:eastAsia="Calibri Light" w:hAnsi="Calibri Light" w:cs="Calibri Light"/>
        </w:rPr>
        <w:t xml:space="preserve">The Town has significant groundwater resources in the eastern half of Town as mapped by the United States Geologic Survey.  Although the Town has consistently determined that the construction of a municipal water system is not economically feasible the resource is significant enough to support such a system in the future if financial circumstance change.  </w:t>
      </w:r>
      <w:r w:rsidR="00964FC9">
        <w:rPr>
          <w:rFonts w:ascii="Calibri Light" w:eastAsia="Calibri Light" w:hAnsi="Calibri Light" w:cs="Calibri Light"/>
        </w:rPr>
        <w:t xml:space="preserve">Recent years have seen local resources impacted by drought conditions. </w:t>
      </w:r>
      <w:r>
        <w:rPr>
          <w:rFonts w:ascii="Calibri Light" w:eastAsia="Calibri Light" w:hAnsi="Calibri Light" w:cs="Calibri Light"/>
        </w:rPr>
        <w:t>Even during sustained droughts developers have been able to site individual drinki</w:t>
      </w:r>
      <w:r w:rsidR="0014464F">
        <w:rPr>
          <w:rFonts w:ascii="Calibri Light" w:eastAsia="Calibri Light" w:hAnsi="Calibri Light" w:cs="Calibri Light"/>
        </w:rPr>
        <w:t>n</w:t>
      </w:r>
      <w:r>
        <w:rPr>
          <w:rFonts w:ascii="Calibri Light" w:eastAsia="Calibri Light" w:hAnsi="Calibri Light" w:cs="Calibri Light"/>
        </w:rPr>
        <w:t xml:space="preserve">g wells on all </w:t>
      </w:r>
      <w:r w:rsidR="0014464F">
        <w:rPr>
          <w:rFonts w:ascii="Calibri Light" w:eastAsia="Calibri Light" w:hAnsi="Calibri Light" w:cs="Calibri Light"/>
        </w:rPr>
        <w:t>sites</w:t>
      </w:r>
      <w:r>
        <w:rPr>
          <w:rFonts w:ascii="Calibri Light" w:eastAsia="Calibri Light" w:hAnsi="Calibri Light" w:cs="Calibri Light"/>
        </w:rPr>
        <w:t xml:space="preserve"> approved for construction.</w:t>
      </w:r>
      <w:r w:rsidR="0014464F">
        <w:rPr>
          <w:rFonts w:ascii="Calibri Light" w:eastAsia="Calibri Light" w:hAnsi="Calibri Light" w:cs="Calibri Light"/>
        </w:rPr>
        <w:t xml:space="preserve">  The Town’s Aquifer Protection District regulates the land uses that may and may not occur over the aquifer resource and also requires additional study of the aquifer when substantial development projects are proposed within the protection district.</w:t>
      </w:r>
      <w:r w:rsidR="00C81BB4">
        <w:rPr>
          <w:rFonts w:ascii="Calibri Light" w:eastAsia="Calibri Light" w:hAnsi="Calibri Light" w:cs="Calibri Light"/>
        </w:rPr>
        <w:t xml:space="preserve"> </w:t>
      </w:r>
    </w:p>
    <w:p w14:paraId="401412E2" w14:textId="763B4243" w:rsidR="00C81BB4" w:rsidRDefault="00C81BB4" w:rsidP="00964FC9">
      <w:pPr>
        <w:rPr>
          <w:rFonts w:ascii="Calibri Light" w:eastAsia="Calibri Light" w:hAnsi="Calibri Light" w:cs="Calibri Light"/>
        </w:rPr>
      </w:pPr>
      <w:r>
        <w:rPr>
          <w:rFonts w:ascii="Calibri Light" w:eastAsia="Calibri Light" w:hAnsi="Calibri Light" w:cs="Calibri Light"/>
        </w:rPr>
        <w:t xml:space="preserve">At the state level the NH Department of Environmental Services </w:t>
      </w:r>
      <w:r w:rsidR="00397BD3">
        <w:rPr>
          <w:rFonts w:ascii="Calibri Light" w:eastAsia="Calibri Light" w:hAnsi="Calibri Light" w:cs="Calibri Light"/>
        </w:rPr>
        <w:t>issues permits to a</w:t>
      </w:r>
      <w:r>
        <w:rPr>
          <w:rFonts w:ascii="Calibri Light" w:eastAsia="Calibri Light" w:hAnsi="Calibri Light" w:cs="Calibri Light"/>
        </w:rPr>
        <w:t>nyone wishing to pump more tha</w:t>
      </w:r>
      <w:r w:rsidR="00397BD3">
        <w:rPr>
          <w:rFonts w:ascii="Calibri Light" w:eastAsia="Calibri Light" w:hAnsi="Calibri Light" w:cs="Calibri Light"/>
        </w:rPr>
        <w:t>n</w:t>
      </w:r>
      <w:r>
        <w:rPr>
          <w:rFonts w:ascii="Calibri Light" w:eastAsia="Calibri Light" w:hAnsi="Calibri Light" w:cs="Calibri Light"/>
        </w:rPr>
        <w:t xml:space="preserve"> 67,000 gallons of water from a single</w:t>
      </w:r>
      <w:r w:rsidR="00397BD3">
        <w:rPr>
          <w:rFonts w:ascii="Calibri Light" w:eastAsia="Calibri Light" w:hAnsi="Calibri Light" w:cs="Calibri Light"/>
        </w:rPr>
        <w:t xml:space="preserve"> well</w:t>
      </w:r>
      <w:r>
        <w:rPr>
          <w:rFonts w:ascii="Calibri Light" w:eastAsia="Calibri Light" w:hAnsi="Calibri Light" w:cs="Calibri Light"/>
        </w:rPr>
        <w:t xml:space="preserve"> </w:t>
      </w:r>
      <w:r w:rsidR="00397BD3">
        <w:rPr>
          <w:rFonts w:ascii="Calibri Light" w:eastAsia="Calibri Light" w:hAnsi="Calibri Light" w:cs="Calibri Light"/>
        </w:rPr>
        <w:t>or series of closely located wells per day.  These permits are granted only after pump tests prove that the aquifer resource will not be detrimentally impacted by the proposed groundwater removal.</w:t>
      </w:r>
    </w:p>
    <w:p w14:paraId="78F5405B" w14:textId="77777777" w:rsidR="00964FC9" w:rsidRDefault="00964FC9" w:rsidP="00964FC9">
      <w:pPr>
        <w:pStyle w:val="Heading4"/>
      </w:pPr>
      <w:r w:rsidRPr="30D42ED1">
        <w:t>Floodplains</w:t>
      </w:r>
    </w:p>
    <w:p w14:paraId="73B2EB0D" w14:textId="75777CE1" w:rsidR="00964FC9" w:rsidRDefault="00964FC9" w:rsidP="00964FC9">
      <w:pPr>
        <w:rPr>
          <w:rFonts w:ascii="Calibri Light" w:eastAsia="Calibri Light" w:hAnsi="Calibri Light" w:cs="Calibri Light"/>
        </w:rPr>
      </w:pPr>
      <w:r w:rsidRPr="7972E33A">
        <w:t xml:space="preserve">Brentwood has a Floodplain Ordinance that protects the areas that are most susceptible to flooding activity. </w:t>
      </w:r>
      <w:r w:rsidRPr="7972E33A">
        <w:rPr>
          <w:rFonts w:ascii="Calibri Light" w:eastAsia="Calibri Light" w:hAnsi="Calibri Light" w:cs="Calibri Light"/>
        </w:rPr>
        <w:t xml:space="preserve">The Flood Plain District includes all special flood hazard areas designated as Zone A, A1-30 on the Brentwood Flood Insurance Rate Maps (FIRM), and the Flood Boundary and Floodway Maps. </w:t>
      </w:r>
      <w:bookmarkStart w:id="3" w:name="_Int_FhBdK0tn"/>
      <w:r w:rsidR="00A82485">
        <w:rPr>
          <w:rFonts w:ascii="Calibri Light" w:eastAsia="Calibri Light" w:hAnsi="Calibri Light" w:cs="Calibri Light"/>
        </w:rPr>
        <w:t xml:space="preserve">Adoption of this floodplain protection ordinance is required by the federal </w:t>
      </w:r>
      <w:r w:rsidR="00096222">
        <w:rPr>
          <w:rFonts w:ascii="Calibri Light" w:eastAsia="Calibri Light" w:hAnsi="Calibri Light" w:cs="Calibri Light"/>
        </w:rPr>
        <w:t xml:space="preserve">government for all communities that want to participate in the National Flood Insurance Program.  </w:t>
      </w:r>
      <w:r w:rsidRPr="7972E33A">
        <w:rPr>
          <w:rFonts w:ascii="Calibri Light" w:eastAsia="Calibri Light" w:hAnsi="Calibri Light" w:cs="Calibri Light"/>
        </w:rPr>
        <w:t>This ordinance is an overlay district that prohibits substantial alterations without a certified engineer demonstrating that any proposed work shall not result in any increase in flood levels during the occurrence of the 100-year flood.</w:t>
      </w:r>
      <w:bookmarkEnd w:id="3"/>
    </w:p>
    <w:p w14:paraId="41744435" w14:textId="38325FEC" w:rsidR="008B4DB4" w:rsidRPr="00292A98" w:rsidRDefault="008B4DB4" w:rsidP="00F34B1D">
      <w:pPr>
        <w:pStyle w:val="Heading4"/>
        <w:rPr>
          <w:rStyle w:val="SubtleEmphasis"/>
          <w:i w:val="0"/>
          <w:iCs w:val="0"/>
        </w:rPr>
      </w:pPr>
      <w:r w:rsidRPr="00292A98">
        <w:rPr>
          <w:rStyle w:val="SubtleEmphasis"/>
          <w:i w:val="0"/>
          <w:iCs w:val="0"/>
        </w:rPr>
        <w:t>Wetlands</w:t>
      </w:r>
    </w:p>
    <w:p w14:paraId="3F0339D7" w14:textId="466F2189" w:rsidR="1A2EAF68" w:rsidRDefault="70E28F93" w:rsidP="1A2EAF68">
      <w:r>
        <w:t xml:space="preserve">Brentwood has a wetlands ordinance that helps to protect the local wetlands against encroachment and ensuing degradation. </w:t>
      </w:r>
      <w:r w:rsidR="00096222">
        <w:t xml:space="preserve">  The ordinance is unique in that the required protective buffer to a wetland resource is predicated upon the number of functions the wetland performs. If a wetland resource provides only flood water retention the buffer can be as small as 35 feet.  When a wetland is providing flood retention, nutrient reduction, wild life habitat and any of the other nine functions that a wetland might provide, the buffer may be increased to as high as 100 feet.  It is uncommon in New Hampshire for </w:t>
      </w:r>
      <w:r w:rsidR="00096222">
        <w:lastRenderedPageBreak/>
        <w:t>a local ordinance to protect wetlands in such a manner.  Wetland</w:t>
      </w:r>
      <w:r w:rsidR="00C81BB4">
        <w:t xml:space="preserve"> </w:t>
      </w:r>
      <w:r w:rsidR="00096222">
        <w:t xml:space="preserve">functional valuation reports are required for all residential </w:t>
      </w:r>
      <w:r w:rsidR="00C81BB4">
        <w:t xml:space="preserve">subdivisions and non-residential site plan review applications that are approved by the Planning Board. </w:t>
      </w:r>
    </w:p>
    <w:p w14:paraId="537776E7" w14:textId="77777777" w:rsidR="00C81BB4" w:rsidRDefault="00C81BB4" w:rsidP="1A2EAF68"/>
    <w:p w14:paraId="7F96A657" w14:textId="4357A5A8" w:rsidR="008B4DB4" w:rsidRPr="00964FC9" w:rsidRDefault="008B4DB4" w:rsidP="00F34B1D">
      <w:pPr>
        <w:pStyle w:val="Heading4"/>
        <w:rPr>
          <w:rStyle w:val="SubtleEmphasis"/>
          <w:i w:val="0"/>
          <w:iCs w:val="0"/>
          <w:color w:val="auto"/>
        </w:rPr>
      </w:pPr>
      <w:r w:rsidRPr="00964FC9">
        <w:rPr>
          <w:rStyle w:val="SubtleEmphasis"/>
          <w:i w:val="0"/>
          <w:iCs w:val="0"/>
        </w:rPr>
        <w:t>Land Conservation</w:t>
      </w:r>
    </w:p>
    <w:p w14:paraId="5054EE95" w14:textId="2CBD1604" w:rsidR="003963E0" w:rsidRDefault="003963E0" w:rsidP="30D42ED1">
      <w:pPr>
        <w:spacing w:after="0" w:line="240" w:lineRule="auto"/>
      </w:pPr>
      <w:r>
        <w:t xml:space="preserve">Land conservation is incredibly important for numerous reasons. </w:t>
      </w:r>
      <w:r w:rsidR="00397BD3">
        <w:t>By permanently protecting land from development</w:t>
      </w:r>
      <w:r>
        <w:t xml:space="preserve"> </w:t>
      </w:r>
      <w:r w:rsidR="00E54CD7">
        <w:t>natural resources</w:t>
      </w:r>
      <w:r w:rsidR="00964FC9">
        <w:t xml:space="preserve"> and wildlife</w:t>
      </w:r>
      <w:r w:rsidR="00397BD3">
        <w:t xml:space="preserve"> environments are secured</w:t>
      </w:r>
      <w:r>
        <w:t>,</w:t>
      </w:r>
      <w:r w:rsidR="00397BD3">
        <w:t xml:space="preserve"> the </w:t>
      </w:r>
      <w:r w:rsidR="00E54CD7">
        <w:t>rural character</w:t>
      </w:r>
      <w:r w:rsidR="00397BD3">
        <w:t xml:space="preserve"> of the area can be enhanced</w:t>
      </w:r>
      <w:r w:rsidR="00E54CD7">
        <w:t>, and drinking water</w:t>
      </w:r>
      <w:r w:rsidR="00397BD3">
        <w:t xml:space="preserve"> supplies can be protected</w:t>
      </w:r>
      <w:r w:rsidR="00911C77">
        <w:t>.</w:t>
      </w:r>
    </w:p>
    <w:p w14:paraId="147B037D" w14:textId="2E33922E" w:rsidR="008B4DB4" w:rsidRDefault="00397BD3" w:rsidP="30D42ED1">
      <w:pPr>
        <w:spacing w:after="0" w:line="240" w:lineRule="auto"/>
      </w:pPr>
      <w:r>
        <w:t>In Brentwood, t</w:t>
      </w:r>
      <w:r w:rsidR="67C5C392" w:rsidRPr="7972E33A">
        <w:t xml:space="preserve">he Conservation Commission holds conservation easements </w:t>
      </w:r>
      <w:r w:rsidR="0092778B">
        <w:t xml:space="preserve">in order to protect land from development and degradation. </w:t>
      </w:r>
      <w:r w:rsidR="67C5C392" w:rsidRPr="7972E33A">
        <w:t>Approximately 18% of the Town has been conserved through such easements and other conservation restrictions</w:t>
      </w:r>
      <w:r w:rsidR="00964FC9">
        <w:t>. R</w:t>
      </w:r>
      <w:r w:rsidR="00141D4D">
        <w:t xml:space="preserve">esidents approved a $3M bond in 2022 to begin securing more land and/or easements. </w:t>
      </w:r>
    </w:p>
    <w:p w14:paraId="370276DF" w14:textId="06D4CCAF" w:rsidR="00397BD3" w:rsidRDefault="00397BD3" w:rsidP="30D42ED1">
      <w:pPr>
        <w:spacing w:after="0" w:line="240" w:lineRule="auto"/>
      </w:pPr>
      <w:r>
        <w:t xml:space="preserve">There is however a cost to such land conservation policies.  Taking developable land off the market and permanently removing </w:t>
      </w:r>
      <w:r w:rsidR="005D4838">
        <w:t>its</w:t>
      </w:r>
      <w:r>
        <w:t xml:space="preserve"> potential to be used for any development purposes drives up the cost of all remaining developable</w:t>
      </w:r>
      <w:r w:rsidR="005D4838">
        <w:t xml:space="preserve"> land in town.  One of the areas of development most impacted is housing.  Since the cost of land is the single highest factor in the end cost for constructed housing Land conservation negatively impacts the ability to provide new housing.</w:t>
      </w:r>
    </w:p>
    <w:p w14:paraId="138206C8" w14:textId="73AEF579" w:rsidR="008B4DB4" w:rsidRPr="00F34B1D" w:rsidRDefault="00FF2C5C" w:rsidP="00F34B1D">
      <w:pPr>
        <w:pStyle w:val="Heading3"/>
        <w:rPr>
          <w:rStyle w:val="SubtleReference"/>
          <w:b w:val="0"/>
          <w:bCs w:val="0"/>
          <w:color w:val="215D6A" w:themeColor="accent1" w:themeShade="7F"/>
        </w:rPr>
      </w:pPr>
      <w:r w:rsidRPr="00F34B1D">
        <w:rPr>
          <w:rStyle w:val="SubtleReference"/>
          <w:b w:val="0"/>
          <w:bCs w:val="0"/>
          <w:color w:val="215D6A" w:themeColor="accent1" w:themeShade="7F"/>
        </w:rPr>
        <w:t>ECONOMIC DEVELOPMENT</w:t>
      </w:r>
    </w:p>
    <w:p w14:paraId="2C9BB2D5" w14:textId="7D126150" w:rsidR="514972FE" w:rsidRDefault="00622D4B" w:rsidP="7972E33A">
      <w:pPr>
        <w:pStyle w:val="Heading3"/>
        <w:rPr>
          <w:rStyle w:val="SubtleEmphasis"/>
          <w:i w:val="0"/>
          <w:iCs w:val="0"/>
        </w:rPr>
      </w:pPr>
      <w:r>
        <w:t>Employment</w:t>
      </w:r>
    </w:p>
    <w:p w14:paraId="353680BE" w14:textId="2AFAD98D" w:rsidR="514972FE" w:rsidRDefault="514972FE" w:rsidP="7972E33A">
      <w:pPr>
        <w:rPr>
          <w:rStyle w:val="SubtleEmphasis"/>
          <w:i w:val="0"/>
          <w:iCs w:val="0"/>
        </w:rPr>
      </w:pPr>
      <w:r>
        <w:t xml:space="preserve">Within Brentwood there are a few larger </w:t>
      </w:r>
      <w:r w:rsidR="3F1E1416">
        <w:t>employers,</w:t>
      </w:r>
      <w:r>
        <w:t xml:space="preserve"> </w:t>
      </w:r>
      <w:r w:rsidR="00964FC9">
        <w:t>including</w:t>
      </w:r>
      <w:r>
        <w:t xml:space="preserve"> the Rockingham County </w:t>
      </w:r>
      <w:r w:rsidR="19650ECE">
        <w:t>Correctional Facility</w:t>
      </w:r>
      <w:r w:rsidR="00C530A1">
        <w:t>,</w:t>
      </w:r>
      <w:r>
        <w:t xml:space="preserve"> the Rockingham County Courthouse</w:t>
      </w:r>
      <w:r w:rsidR="00C530A1">
        <w:t>, and the</w:t>
      </w:r>
      <w:r w:rsidR="00F83276">
        <w:t xml:space="preserve"> Brentwood Rehabilitation and Healthcare Center</w:t>
      </w:r>
      <w:r>
        <w:t xml:space="preserve">. </w:t>
      </w:r>
      <w:r w:rsidR="00F83276">
        <w:t>These</w:t>
      </w:r>
      <w:r w:rsidR="1B0F4E8F">
        <w:t xml:space="preserve"> large locations</w:t>
      </w:r>
      <w:r w:rsidR="00F83276">
        <w:t xml:space="preserve"> each</w:t>
      </w:r>
      <w:r w:rsidR="1B0F4E8F">
        <w:t xml:space="preserve"> have </w:t>
      </w:r>
      <w:r w:rsidR="00964FC9">
        <w:t>more than</w:t>
      </w:r>
      <w:r w:rsidR="1B0F4E8F">
        <w:t xml:space="preserve"> 100 employees from Brentwood and the surrounding area.</w:t>
      </w:r>
      <w:r>
        <w:t xml:space="preserve"> </w:t>
      </w:r>
      <w:r w:rsidR="4508B823">
        <w:t xml:space="preserve">According to the US </w:t>
      </w:r>
      <w:r w:rsidR="4D9530BA">
        <w:t>Census,</w:t>
      </w:r>
      <w:r w:rsidR="4508B823">
        <w:t xml:space="preserve"> out of all the people that are employed </w:t>
      </w:r>
      <w:r w:rsidR="4F17D4AB">
        <w:t>with</w:t>
      </w:r>
      <w:r w:rsidR="4508B823">
        <w:t>in Brentwood</w:t>
      </w:r>
      <w:r w:rsidR="71DC69F3">
        <w:t>,</w:t>
      </w:r>
      <w:r w:rsidR="4508B823">
        <w:t xml:space="preserve"> 73.6</w:t>
      </w:r>
      <w:r w:rsidR="6C8BA498">
        <w:t>% work in the region, and 23% have worked remotely from their Brentwood homes.</w:t>
      </w:r>
      <w:r w:rsidR="6F10BEFD">
        <w:t xml:space="preserve"> Having</w:t>
      </w:r>
      <w:r w:rsidR="00EA6585">
        <w:t xml:space="preserve"> a mix of</w:t>
      </w:r>
      <w:r w:rsidR="6F10BEFD">
        <w:t xml:space="preserve"> local jobs </w:t>
      </w:r>
      <w:r w:rsidR="00EA6585">
        <w:t>as well as</w:t>
      </w:r>
      <w:r w:rsidR="6F10BEFD">
        <w:t xml:space="preserve"> remote workers benefits the local economy and increase</w:t>
      </w:r>
      <w:r w:rsidR="646F6238">
        <w:t>s</w:t>
      </w:r>
      <w:r w:rsidR="6F10BEFD">
        <w:t xml:space="preserve"> demand on housing stock</w:t>
      </w:r>
      <w:r w:rsidR="6E7634BB">
        <w:t xml:space="preserve">. </w:t>
      </w:r>
      <w:r w:rsidR="00BB2785">
        <w:t xml:space="preserve">It is the responsibility of each community in NH to provide its residents with a mix of housing opportunity to help provide balance between jobs offered in an area and the housing necessary for those holding the jobs. Presently Brentwood does a poor job of providing a mix of residential housing types by heavily leaning toward </w:t>
      </w:r>
      <w:r w:rsidR="00486E63">
        <w:t>high-cost</w:t>
      </w:r>
      <w:r w:rsidR="00BB2785">
        <w:t xml:space="preserve"> </w:t>
      </w:r>
      <w:r w:rsidR="00486E63">
        <w:t>low-density single-family</w:t>
      </w:r>
      <w:r w:rsidR="00BB2785">
        <w:t xml:space="preserve"> housing.</w:t>
      </w:r>
    </w:p>
    <w:p w14:paraId="3619E870" w14:textId="645AC9F0" w:rsidR="00622D4B" w:rsidRPr="00F34B1D" w:rsidRDefault="00622D4B" w:rsidP="00F34B1D">
      <w:pPr>
        <w:pStyle w:val="Heading3"/>
        <w:rPr>
          <w:rStyle w:val="SubtleReference"/>
          <w:b w:val="0"/>
          <w:bCs w:val="0"/>
          <w:color w:val="215D6A" w:themeColor="accent1" w:themeShade="7F"/>
        </w:rPr>
      </w:pPr>
      <w:r w:rsidRPr="00F34B1D">
        <w:rPr>
          <w:rStyle w:val="SubtleReference"/>
          <w:b w:val="0"/>
          <w:bCs w:val="0"/>
          <w:color w:val="215D6A" w:themeColor="accent1" w:themeShade="7F"/>
        </w:rPr>
        <w:t>I</w:t>
      </w:r>
      <w:r w:rsidR="00EA5322" w:rsidRPr="00F34B1D">
        <w:rPr>
          <w:rStyle w:val="SubtleReference"/>
          <w:b w:val="0"/>
          <w:bCs w:val="0"/>
          <w:color w:val="215D6A" w:themeColor="accent1" w:themeShade="7F"/>
        </w:rPr>
        <w:t>NFRASTRUCTURE</w:t>
      </w:r>
    </w:p>
    <w:p w14:paraId="0B9CB73C" w14:textId="5089B39D" w:rsidR="2CCDC19D" w:rsidRDefault="2CCDC19D" w:rsidP="00F34B1D">
      <w:pPr>
        <w:pStyle w:val="Heading4"/>
        <w:rPr>
          <w:i/>
          <w:iCs/>
        </w:rPr>
      </w:pPr>
      <w:r>
        <w:t>Water</w:t>
      </w:r>
      <w:r w:rsidR="00964FC9">
        <w:t xml:space="preserve"> and Sewer</w:t>
      </w:r>
    </w:p>
    <w:p w14:paraId="54977DA4" w14:textId="55CC0A41" w:rsidR="00964FC9" w:rsidRDefault="00964FC9" w:rsidP="1A2EAF68">
      <w:r>
        <w:t>As noted above, much</w:t>
      </w:r>
      <w:r w:rsidR="7937F3F0">
        <w:t xml:space="preserve"> like its neighboring communities, Brentwood relies on property owners to supply themselves with water</w:t>
      </w:r>
      <w:r w:rsidR="10A525CF">
        <w:t xml:space="preserve"> via wells</w:t>
      </w:r>
      <w:r w:rsidR="7937F3F0">
        <w:t>. This is an additional barrier to new development</w:t>
      </w:r>
      <w:r w:rsidR="0C30D893">
        <w:t>.</w:t>
      </w:r>
      <w:r>
        <w:t xml:space="preserve"> </w:t>
      </w:r>
      <w:r w:rsidR="7937F3F0">
        <w:t xml:space="preserve">Previously there were conversations with the Town of Epping about extending the water service along the NH Route 125 corridor. </w:t>
      </w:r>
      <w:r w:rsidR="00141D4D">
        <w:t xml:space="preserve">The Epping water system is located just to the North of the Brentwood border. </w:t>
      </w:r>
      <w:r w:rsidR="7937F3F0">
        <w:t xml:space="preserve">This could </w:t>
      </w:r>
      <w:r>
        <w:t>serve</w:t>
      </w:r>
      <w:r w:rsidR="7937F3F0">
        <w:t xml:space="preserve"> </w:t>
      </w:r>
      <w:r w:rsidR="7937F3F0">
        <w:lastRenderedPageBreak/>
        <w:t xml:space="preserve">the multifamily/professional office zone that has lacked housing development since </w:t>
      </w:r>
      <w:r w:rsidR="7529B848">
        <w:t>its</w:t>
      </w:r>
      <w:r w:rsidR="7937F3F0">
        <w:t xml:space="preserve"> creation</w:t>
      </w:r>
      <w:r w:rsidR="00141D4D">
        <w:t xml:space="preserve">, however the system reportedly is likely insufficient to provide all of Brentwood with water and </w:t>
      </w:r>
      <w:r>
        <w:t>would be costly</w:t>
      </w:r>
      <w:r w:rsidR="00141D4D">
        <w:t xml:space="preserve">. </w:t>
      </w:r>
      <w:r>
        <w:t>Larger developments can create</w:t>
      </w:r>
      <w:r w:rsidR="00060BE6">
        <w:t xml:space="preserve"> </w:t>
      </w:r>
      <w:r>
        <w:t xml:space="preserve">shared community well systems. </w:t>
      </w:r>
    </w:p>
    <w:p w14:paraId="626AB78F" w14:textId="636C8B96" w:rsidR="00964FC9" w:rsidRDefault="00964FC9" w:rsidP="1A2EAF68">
      <w:r>
        <w:t xml:space="preserve">Just as with municipal water, Brentwood has no municipal sewer. This lack of infrastructure requires developers to think creatively to develop an efficient system. As with community wells, </w:t>
      </w:r>
      <w:r w:rsidR="00060BE6">
        <w:t>wastewater</w:t>
      </w:r>
      <w:r>
        <w:t xml:space="preserve"> infrastructure can be shared. For example, the County Complex</w:t>
      </w:r>
      <w:r w:rsidR="00060BE6">
        <w:t>,</w:t>
      </w:r>
      <w:r>
        <w:t xml:space="preserve"> which includes the nursing home</w:t>
      </w:r>
      <w:r w:rsidR="00060BE6">
        <w:t>,</w:t>
      </w:r>
      <w:r>
        <w:t xml:space="preserve"> has a small wastewater treatment facility. With current wastewater technologies</w:t>
      </w:r>
      <w:r w:rsidR="00060BE6">
        <w:t>,</w:t>
      </w:r>
      <w:r>
        <w:t xml:space="preserve"> parcel size is determined by soil type and the minimums that have been designated by the Brentwood Planning Board. Currently, within the multifamily district, each unit is required to have 2 acres of land. That requirement directly affects land availability and cost to the developer and the tenant. </w:t>
      </w:r>
    </w:p>
    <w:p w14:paraId="2A17A873" w14:textId="4283C7DF" w:rsidR="7937F3F0" w:rsidRDefault="00141D4D" w:rsidP="1A2EAF68">
      <w:r>
        <w:t xml:space="preserve">The Town’s Economic Development Committee has explored grant opportunities to determine the feasibility of </w:t>
      </w:r>
      <w:r w:rsidR="00964FC9">
        <w:t>developing infrastructure along Route 125.</w:t>
      </w:r>
      <w:r w:rsidR="00747B22">
        <w:t xml:space="preserve"> </w:t>
      </w:r>
    </w:p>
    <w:p w14:paraId="60C121AF" w14:textId="2B285782" w:rsidR="6C6E86C0" w:rsidRDefault="6C6E86C0" w:rsidP="00F34B1D">
      <w:pPr>
        <w:pStyle w:val="Heading4"/>
      </w:pPr>
      <w:r w:rsidRPr="30D42ED1">
        <w:t>Transportation Network</w:t>
      </w:r>
    </w:p>
    <w:p w14:paraId="68741B8C" w14:textId="4F856A84" w:rsidR="00060BE6" w:rsidRDefault="2D885C72" w:rsidP="7972E33A">
      <w:pPr>
        <w:rPr>
          <w:rStyle w:val="SubtleEmphasis"/>
          <w:i w:val="0"/>
          <w:iCs w:val="0"/>
          <w:color w:val="auto"/>
        </w:rPr>
      </w:pPr>
      <w:r w:rsidRPr="7972E33A">
        <w:rPr>
          <w:rStyle w:val="SubtleEmphasis"/>
          <w:i w:val="0"/>
          <w:iCs w:val="0"/>
          <w:color w:val="auto"/>
        </w:rPr>
        <w:t>Brentwood is well connected by major routes such as</w:t>
      </w:r>
      <w:r w:rsidR="00060BE6">
        <w:rPr>
          <w:rStyle w:val="SubtleEmphasis"/>
          <w:i w:val="0"/>
          <w:iCs w:val="0"/>
          <w:color w:val="auto"/>
        </w:rPr>
        <w:t xml:space="preserve"> state roads</w:t>
      </w:r>
      <w:r w:rsidRPr="7972E33A">
        <w:rPr>
          <w:rStyle w:val="SubtleEmphasis"/>
          <w:i w:val="0"/>
          <w:iCs w:val="0"/>
          <w:color w:val="auto"/>
        </w:rPr>
        <w:t xml:space="preserve"> 125, 111</w:t>
      </w:r>
      <w:r w:rsidR="00BB2785">
        <w:rPr>
          <w:rStyle w:val="SubtleEmphasis"/>
          <w:i w:val="0"/>
          <w:iCs w:val="0"/>
          <w:color w:val="auto"/>
        </w:rPr>
        <w:t>-A</w:t>
      </w:r>
      <w:r w:rsidRPr="7972E33A">
        <w:rPr>
          <w:rStyle w:val="SubtleEmphasis"/>
          <w:i w:val="0"/>
          <w:iCs w:val="0"/>
          <w:color w:val="auto"/>
        </w:rPr>
        <w:t xml:space="preserve">, 101 and 27. </w:t>
      </w:r>
      <w:r w:rsidR="36006DFC" w:rsidRPr="7972E33A">
        <w:rPr>
          <w:rStyle w:val="SubtleEmphasis"/>
          <w:i w:val="0"/>
          <w:iCs w:val="0"/>
          <w:color w:val="auto"/>
        </w:rPr>
        <w:t>This road network allows residents to have jobs in other local communities and commute with ease. They can then return to the</w:t>
      </w:r>
      <w:r w:rsidR="22A47278" w:rsidRPr="7972E33A">
        <w:rPr>
          <w:rStyle w:val="SubtleEmphasis"/>
          <w:i w:val="0"/>
          <w:iCs w:val="0"/>
          <w:color w:val="auto"/>
        </w:rPr>
        <w:t>ir</w:t>
      </w:r>
      <w:r w:rsidR="36006DFC" w:rsidRPr="7972E33A">
        <w:rPr>
          <w:rStyle w:val="SubtleEmphasis"/>
          <w:i w:val="0"/>
          <w:iCs w:val="0"/>
          <w:color w:val="auto"/>
        </w:rPr>
        <w:t xml:space="preserve"> more rural setting</w:t>
      </w:r>
      <w:r w:rsidR="7CC0EB48" w:rsidRPr="7972E33A">
        <w:rPr>
          <w:rStyle w:val="SubtleEmphasis"/>
          <w:i w:val="0"/>
          <w:iCs w:val="0"/>
          <w:color w:val="auto"/>
        </w:rPr>
        <w:t>. Th</w:t>
      </w:r>
      <w:r w:rsidR="4BC0F959" w:rsidRPr="7972E33A">
        <w:rPr>
          <w:rStyle w:val="SubtleEmphasis"/>
          <w:i w:val="0"/>
          <w:iCs w:val="0"/>
          <w:color w:val="auto"/>
        </w:rPr>
        <w:t>ere is no public transportation, so residents of Brentwood are reliant upon their personal or family vehicles to get around.</w:t>
      </w:r>
      <w:r w:rsidR="48C76F20" w:rsidRPr="7972E33A">
        <w:rPr>
          <w:rStyle w:val="SubtleEmphasis"/>
          <w:i w:val="0"/>
          <w:iCs w:val="0"/>
          <w:color w:val="auto"/>
        </w:rPr>
        <w:t xml:space="preserve"> </w:t>
      </w:r>
      <w:r w:rsidR="007E5FEB">
        <w:rPr>
          <w:rStyle w:val="SubtleEmphasis"/>
          <w:i w:val="0"/>
          <w:iCs w:val="0"/>
          <w:color w:val="auto"/>
        </w:rPr>
        <w:t>There is a Park and Ride location on I25 just north of the Brentwood border</w:t>
      </w:r>
      <w:r w:rsidR="00060BE6">
        <w:rPr>
          <w:rStyle w:val="SubtleEmphasis"/>
          <w:i w:val="0"/>
          <w:iCs w:val="0"/>
          <w:color w:val="auto"/>
        </w:rPr>
        <w:t>,</w:t>
      </w:r>
      <w:r w:rsidR="001E7F97">
        <w:rPr>
          <w:rStyle w:val="SubtleEmphasis"/>
          <w:i w:val="0"/>
          <w:iCs w:val="0"/>
          <w:color w:val="auto"/>
        </w:rPr>
        <w:t xml:space="preserve"> which is a resource </w:t>
      </w:r>
      <w:r w:rsidR="00060BE6">
        <w:rPr>
          <w:rStyle w:val="SubtleEmphasis"/>
          <w:i w:val="0"/>
          <w:iCs w:val="0"/>
          <w:color w:val="auto"/>
        </w:rPr>
        <w:t>for</w:t>
      </w:r>
      <w:r w:rsidR="001E7F97">
        <w:rPr>
          <w:rStyle w:val="SubtleEmphasis"/>
          <w:i w:val="0"/>
          <w:iCs w:val="0"/>
          <w:color w:val="auto"/>
        </w:rPr>
        <w:t xml:space="preserve"> people to carpool to locations. </w:t>
      </w:r>
      <w:r w:rsidR="00060BE6">
        <w:rPr>
          <w:rStyle w:val="SubtleEmphasis"/>
          <w:i w:val="0"/>
          <w:iCs w:val="0"/>
          <w:color w:val="auto"/>
        </w:rPr>
        <w:t xml:space="preserve">The Downeaster Amtrak line with service to Portland, ME and Boston, MA, stops in nearby Exeter. The town lacks pedestrian and bike infrastructure. </w:t>
      </w:r>
    </w:p>
    <w:p w14:paraId="2B57A636" w14:textId="0D0A8A9B" w:rsidR="2D885C72" w:rsidRDefault="0012396B" w:rsidP="7972E33A">
      <w:pPr>
        <w:rPr>
          <w:rStyle w:val="SubtleEmphasis"/>
          <w:i w:val="0"/>
          <w:iCs w:val="0"/>
          <w:color w:val="auto"/>
        </w:rPr>
      </w:pPr>
      <w:r>
        <w:rPr>
          <w:rStyle w:val="SubtleEmphasis"/>
          <w:i w:val="0"/>
          <w:iCs w:val="0"/>
          <w:color w:val="auto"/>
        </w:rPr>
        <w:t xml:space="preserve">According to the American Community Survey </w:t>
      </w:r>
      <w:r w:rsidR="00AB5E94">
        <w:rPr>
          <w:rStyle w:val="SubtleEmphasis"/>
          <w:i w:val="0"/>
          <w:iCs w:val="0"/>
          <w:color w:val="auto"/>
        </w:rPr>
        <w:t xml:space="preserve">2017-2021 70.9% of workers over the age of 16 drive alone, 23.1% work from home, and </w:t>
      </w:r>
      <w:r w:rsidR="00CF6BE5">
        <w:rPr>
          <w:rStyle w:val="SubtleEmphasis"/>
          <w:i w:val="0"/>
          <w:iCs w:val="0"/>
          <w:color w:val="auto"/>
        </w:rPr>
        <w:t xml:space="preserve">4.2% carpool. The average commute time to work for Brentwood residents is 31 minutes. </w:t>
      </w:r>
    </w:p>
    <w:p w14:paraId="418A5597" w14:textId="719FA0EB" w:rsidR="6C645612" w:rsidRDefault="6C645612" w:rsidP="7972E33A">
      <w:pPr>
        <w:pStyle w:val="Heading3"/>
        <w:rPr>
          <w:i/>
          <w:iCs/>
        </w:rPr>
      </w:pPr>
      <w:r>
        <w:t>Energy Infrastructure</w:t>
      </w:r>
    </w:p>
    <w:p w14:paraId="6579499A" w14:textId="1952F5B9" w:rsidR="30D42ED1" w:rsidRPr="002F1C19" w:rsidRDefault="0A2EF7B0" w:rsidP="00EF1E9A">
      <w:r w:rsidRPr="7972E33A">
        <w:rPr>
          <w:rStyle w:val="SubtleEmphasis"/>
          <w:i w:val="0"/>
          <w:iCs w:val="0"/>
        </w:rPr>
        <w:t xml:space="preserve">Brentwood is serviced by Unitil, Eversource and </w:t>
      </w:r>
      <w:r w:rsidR="54608E4E" w:rsidRPr="7972E33A">
        <w:rPr>
          <w:rStyle w:val="SubtleEmphasis"/>
          <w:i w:val="0"/>
          <w:iCs w:val="0"/>
        </w:rPr>
        <w:t>the New Hampshire Electric Co-Op.</w:t>
      </w:r>
      <w:r w:rsidR="088A1250" w:rsidRPr="7972E33A">
        <w:rPr>
          <w:rStyle w:val="SubtleEmphasis"/>
          <w:i w:val="0"/>
          <w:iCs w:val="0"/>
        </w:rPr>
        <w:t xml:space="preserve"> Having </w:t>
      </w:r>
      <w:r w:rsidR="00060BE6">
        <w:rPr>
          <w:rStyle w:val="SubtleEmphasis"/>
          <w:i w:val="0"/>
          <w:iCs w:val="0"/>
        </w:rPr>
        <w:t>three</w:t>
      </w:r>
      <w:r w:rsidR="088A1250" w:rsidRPr="7972E33A">
        <w:rPr>
          <w:rStyle w:val="SubtleEmphasis"/>
          <w:i w:val="0"/>
          <w:iCs w:val="0"/>
        </w:rPr>
        <w:t xml:space="preserve"> providers in one community increases the </w:t>
      </w:r>
      <w:r w:rsidR="480D9842" w:rsidRPr="7972E33A">
        <w:rPr>
          <w:rStyle w:val="SubtleEmphasis"/>
          <w:i w:val="0"/>
          <w:iCs w:val="0"/>
        </w:rPr>
        <w:t>town's</w:t>
      </w:r>
      <w:r w:rsidR="088A1250" w:rsidRPr="7972E33A">
        <w:rPr>
          <w:rStyle w:val="SubtleEmphasis"/>
          <w:i w:val="0"/>
          <w:iCs w:val="0"/>
        </w:rPr>
        <w:t xml:space="preserve"> resilience regarding emergency situations that cause outages. </w:t>
      </w:r>
      <w:r w:rsidR="549BCCD9" w:rsidRPr="7972E33A">
        <w:rPr>
          <w:rStyle w:val="SubtleEmphasis"/>
          <w:i w:val="0"/>
          <w:iCs w:val="0"/>
        </w:rPr>
        <w:t xml:space="preserve">The Brentwood Energy &amp; Efficiency Advisory Committee </w:t>
      </w:r>
      <w:r w:rsidR="447E5E49" w:rsidRPr="7972E33A">
        <w:rPr>
          <w:rStyle w:val="SubtleEmphasis"/>
          <w:i w:val="0"/>
          <w:iCs w:val="0"/>
        </w:rPr>
        <w:t xml:space="preserve">was </w:t>
      </w:r>
      <w:r w:rsidR="00060BE6">
        <w:rPr>
          <w:rStyle w:val="SubtleEmphasis"/>
          <w:i w:val="0"/>
          <w:iCs w:val="0"/>
        </w:rPr>
        <w:t>established</w:t>
      </w:r>
      <w:r w:rsidR="447E5E49" w:rsidRPr="7972E33A">
        <w:rPr>
          <w:rStyle w:val="SubtleEmphasis"/>
          <w:i w:val="0"/>
          <w:iCs w:val="0"/>
        </w:rPr>
        <w:t xml:space="preserve"> in Fall 2022 and has been tasked with researching electric policy</w:t>
      </w:r>
      <w:r w:rsidR="01F6E511" w:rsidRPr="7972E33A">
        <w:rPr>
          <w:rStyle w:val="SubtleEmphasis"/>
          <w:i w:val="0"/>
          <w:iCs w:val="0"/>
        </w:rPr>
        <w:t xml:space="preserve">, </w:t>
      </w:r>
      <w:r w:rsidR="447E5E49" w:rsidRPr="7972E33A">
        <w:rPr>
          <w:rStyle w:val="SubtleEmphasis"/>
          <w:i w:val="0"/>
          <w:iCs w:val="0"/>
        </w:rPr>
        <w:t>current services</w:t>
      </w:r>
      <w:r w:rsidR="7BA02326" w:rsidRPr="7972E33A">
        <w:rPr>
          <w:rStyle w:val="SubtleEmphasis"/>
          <w:i w:val="0"/>
          <w:iCs w:val="0"/>
        </w:rPr>
        <w:t>,</w:t>
      </w:r>
      <w:r w:rsidR="447E5E49" w:rsidRPr="7972E33A">
        <w:rPr>
          <w:rStyle w:val="SubtleEmphasis"/>
          <w:i w:val="0"/>
          <w:iCs w:val="0"/>
        </w:rPr>
        <w:t xml:space="preserve"> and how they affect Brentwood.</w:t>
      </w:r>
      <w:r w:rsidR="00060BE6">
        <w:rPr>
          <w:rStyle w:val="SubtleEmphasis"/>
          <w:i w:val="0"/>
          <w:iCs w:val="0"/>
        </w:rPr>
        <w:t xml:space="preserve"> The Committee established a community power plan, which the Select Board adopted and voters approved, but it has not yet been implemented. </w:t>
      </w:r>
    </w:p>
    <w:p w14:paraId="059884D2" w14:textId="276DF921" w:rsidR="00EA5322" w:rsidRPr="007F1D49" w:rsidRDefault="000C207C" w:rsidP="00F34B1D">
      <w:pPr>
        <w:pStyle w:val="Heading4"/>
        <w:rPr>
          <w:rStyle w:val="SubtleEmphasis"/>
        </w:rPr>
      </w:pPr>
      <w:r>
        <w:t xml:space="preserve">Historic Properties </w:t>
      </w:r>
    </w:p>
    <w:p w14:paraId="2398C922" w14:textId="745F0169" w:rsidR="00C603E4" w:rsidRDefault="00D07496" w:rsidP="7972E33A">
      <w:pPr>
        <w:rPr>
          <w:rStyle w:val="SubtleEmphasis"/>
          <w:i w:val="0"/>
          <w:iCs w:val="0"/>
          <w:color w:val="auto"/>
        </w:rPr>
      </w:pPr>
      <w:r>
        <w:rPr>
          <w:rStyle w:val="SubtleEmphasis"/>
          <w:i w:val="0"/>
          <w:iCs w:val="0"/>
          <w:color w:val="auto"/>
        </w:rPr>
        <w:t xml:space="preserve">Brentwood’s history is </w:t>
      </w:r>
      <w:r w:rsidR="00C603E4">
        <w:rPr>
          <w:rStyle w:val="SubtleEmphasis"/>
          <w:i w:val="0"/>
          <w:iCs w:val="0"/>
          <w:color w:val="auto"/>
        </w:rPr>
        <w:t xml:space="preserve">similar to other communities within Rockingham County. Settlers chose Brentwood, originally part of Exeter, for its relationship to the Exeter River. The </w:t>
      </w:r>
      <w:r w:rsidR="00060BE6">
        <w:rPr>
          <w:rStyle w:val="SubtleEmphasis"/>
          <w:i w:val="0"/>
          <w:iCs w:val="0"/>
          <w:color w:val="auto"/>
        </w:rPr>
        <w:t>ri</w:t>
      </w:r>
      <w:r w:rsidR="00C603E4">
        <w:rPr>
          <w:rStyle w:val="SubtleEmphasis"/>
          <w:i w:val="0"/>
          <w:iCs w:val="0"/>
          <w:color w:val="auto"/>
        </w:rPr>
        <w:t>ver provided much</w:t>
      </w:r>
      <w:r w:rsidR="00060BE6">
        <w:rPr>
          <w:rStyle w:val="SubtleEmphasis"/>
          <w:i w:val="0"/>
          <w:iCs w:val="0"/>
          <w:color w:val="auto"/>
        </w:rPr>
        <w:t>-</w:t>
      </w:r>
      <w:r w:rsidR="00C603E4">
        <w:rPr>
          <w:rStyle w:val="SubtleEmphasis"/>
          <w:i w:val="0"/>
          <w:iCs w:val="0"/>
          <w:color w:val="auto"/>
        </w:rPr>
        <w:t>needed natur</w:t>
      </w:r>
      <w:r w:rsidR="002C4451">
        <w:rPr>
          <w:rStyle w:val="SubtleEmphasis"/>
          <w:i w:val="0"/>
          <w:iCs w:val="0"/>
          <w:color w:val="auto"/>
        </w:rPr>
        <w:t>al</w:t>
      </w:r>
      <w:r w:rsidR="00C603E4">
        <w:rPr>
          <w:rStyle w:val="SubtleEmphasis"/>
          <w:i w:val="0"/>
          <w:iCs w:val="0"/>
          <w:color w:val="auto"/>
        </w:rPr>
        <w:t xml:space="preserve"> resources and eventually allowed </w:t>
      </w:r>
      <w:r w:rsidR="00060BE6">
        <w:rPr>
          <w:rStyle w:val="SubtleEmphasis"/>
          <w:i w:val="0"/>
          <w:iCs w:val="0"/>
          <w:color w:val="auto"/>
        </w:rPr>
        <w:t>residents</w:t>
      </w:r>
      <w:r w:rsidR="00C603E4">
        <w:rPr>
          <w:rStyle w:val="SubtleEmphasis"/>
          <w:i w:val="0"/>
          <w:iCs w:val="0"/>
          <w:color w:val="auto"/>
        </w:rPr>
        <w:t xml:space="preserve"> to </w:t>
      </w:r>
      <w:r w:rsidR="00060BE6">
        <w:rPr>
          <w:rStyle w:val="SubtleEmphasis"/>
          <w:i w:val="0"/>
          <w:iCs w:val="0"/>
          <w:color w:val="auto"/>
        </w:rPr>
        <w:t>build</w:t>
      </w:r>
      <w:r w:rsidR="006F490E">
        <w:rPr>
          <w:rStyle w:val="SubtleEmphasis"/>
          <w:i w:val="0"/>
          <w:iCs w:val="0"/>
          <w:color w:val="auto"/>
        </w:rPr>
        <w:t xml:space="preserve"> mills and harness the </w:t>
      </w:r>
      <w:r w:rsidR="00060BE6">
        <w:rPr>
          <w:rStyle w:val="SubtleEmphasis"/>
          <w:i w:val="0"/>
          <w:iCs w:val="0"/>
          <w:color w:val="auto"/>
        </w:rPr>
        <w:t>ri</w:t>
      </w:r>
      <w:r w:rsidR="006F490E">
        <w:rPr>
          <w:rStyle w:val="SubtleEmphasis"/>
          <w:i w:val="0"/>
          <w:iCs w:val="0"/>
          <w:color w:val="auto"/>
        </w:rPr>
        <w:t xml:space="preserve">ver’s power </w:t>
      </w:r>
      <w:r w:rsidR="006F490E">
        <w:rPr>
          <w:rStyle w:val="SubtleEmphasis"/>
          <w:i w:val="0"/>
          <w:iCs w:val="0"/>
          <w:color w:val="auto"/>
        </w:rPr>
        <w:lastRenderedPageBreak/>
        <w:t>for production</w:t>
      </w:r>
      <w:r w:rsidR="00EC42D6">
        <w:rPr>
          <w:rStyle w:val="SubtleEmphasis"/>
          <w:i w:val="0"/>
          <w:iCs w:val="0"/>
          <w:color w:val="auto"/>
        </w:rPr>
        <w:t xml:space="preserve">. Housing development was focused </w:t>
      </w:r>
      <w:r w:rsidR="009D4D51">
        <w:rPr>
          <w:rStyle w:val="SubtleEmphasis"/>
          <w:i w:val="0"/>
          <w:iCs w:val="0"/>
          <w:color w:val="auto"/>
        </w:rPr>
        <w:t>around these</w:t>
      </w:r>
      <w:r w:rsidR="00EC42D6">
        <w:rPr>
          <w:rStyle w:val="SubtleEmphasis"/>
          <w:i w:val="0"/>
          <w:iCs w:val="0"/>
          <w:color w:val="auto"/>
        </w:rPr>
        <w:t xml:space="preserve"> mills </w:t>
      </w:r>
      <w:r w:rsidR="009D4D51">
        <w:rPr>
          <w:rStyle w:val="SubtleEmphasis"/>
          <w:i w:val="0"/>
          <w:iCs w:val="0"/>
          <w:color w:val="auto"/>
        </w:rPr>
        <w:t xml:space="preserve">and could mainly be found </w:t>
      </w:r>
      <w:r w:rsidR="00F84101">
        <w:rPr>
          <w:rStyle w:val="SubtleEmphasis"/>
          <w:i w:val="0"/>
          <w:iCs w:val="0"/>
          <w:color w:val="auto"/>
        </w:rPr>
        <w:t xml:space="preserve">at Crawley Falls at the intersection of Old Route 125 and Middle Road (Route IIIA). </w:t>
      </w:r>
      <w:r w:rsidR="00C454E7">
        <w:rPr>
          <w:rStyle w:val="SubtleEmphasis"/>
          <w:i w:val="0"/>
          <w:iCs w:val="0"/>
          <w:color w:val="auto"/>
        </w:rPr>
        <w:t xml:space="preserve">The </w:t>
      </w:r>
      <w:r w:rsidR="00060BE6">
        <w:rPr>
          <w:rStyle w:val="SubtleEmphasis"/>
          <w:i w:val="0"/>
          <w:iCs w:val="0"/>
          <w:color w:val="auto"/>
        </w:rPr>
        <w:t>presence</w:t>
      </w:r>
      <w:r w:rsidR="00C454E7">
        <w:rPr>
          <w:rStyle w:val="SubtleEmphasis"/>
          <w:i w:val="0"/>
          <w:iCs w:val="0"/>
          <w:color w:val="auto"/>
        </w:rPr>
        <w:t xml:space="preserve"> of wetlands</w:t>
      </w:r>
      <w:r w:rsidR="00F52905">
        <w:rPr>
          <w:rStyle w:val="SubtleEmphasis"/>
          <w:i w:val="0"/>
          <w:iCs w:val="0"/>
          <w:color w:val="auto"/>
        </w:rPr>
        <w:t>, large swathes of agricultural uses,</w:t>
      </w:r>
      <w:r w:rsidR="00C454E7">
        <w:rPr>
          <w:rStyle w:val="SubtleEmphasis"/>
          <w:i w:val="0"/>
          <w:iCs w:val="0"/>
          <w:color w:val="auto"/>
        </w:rPr>
        <w:t xml:space="preserve"> and </w:t>
      </w:r>
      <w:r w:rsidR="00F52905">
        <w:rPr>
          <w:rStyle w:val="SubtleEmphasis"/>
          <w:i w:val="0"/>
          <w:iCs w:val="0"/>
          <w:color w:val="auto"/>
        </w:rPr>
        <w:t>slow transportation speeds cause</w:t>
      </w:r>
      <w:r w:rsidR="00FD30C2">
        <w:rPr>
          <w:rStyle w:val="SubtleEmphasis"/>
          <w:i w:val="0"/>
          <w:iCs w:val="0"/>
          <w:color w:val="auto"/>
        </w:rPr>
        <w:t>d</w:t>
      </w:r>
      <w:r w:rsidR="00F52905">
        <w:rPr>
          <w:rStyle w:val="SubtleEmphasis"/>
          <w:i w:val="0"/>
          <w:iCs w:val="0"/>
          <w:color w:val="auto"/>
        </w:rPr>
        <w:t xml:space="preserve"> the Town development</w:t>
      </w:r>
      <w:r w:rsidR="00FD30C2">
        <w:rPr>
          <w:rStyle w:val="SubtleEmphasis"/>
          <w:i w:val="0"/>
          <w:iCs w:val="0"/>
          <w:color w:val="auto"/>
        </w:rPr>
        <w:t xml:space="preserve"> to be</w:t>
      </w:r>
      <w:r w:rsidR="00F52905">
        <w:rPr>
          <w:rStyle w:val="SubtleEmphasis"/>
          <w:i w:val="0"/>
          <w:iCs w:val="0"/>
          <w:color w:val="auto"/>
        </w:rPr>
        <w:t xml:space="preserve"> </w:t>
      </w:r>
      <w:r w:rsidR="00FD30C2">
        <w:rPr>
          <w:rStyle w:val="SubtleEmphasis"/>
          <w:i w:val="0"/>
          <w:iCs w:val="0"/>
          <w:color w:val="auto"/>
        </w:rPr>
        <w:t xml:space="preserve">spread out and </w:t>
      </w:r>
      <w:r w:rsidR="00060BE6">
        <w:rPr>
          <w:rStyle w:val="SubtleEmphasis"/>
          <w:i w:val="0"/>
          <w:iCs w:val="0"/>
          <w:color w:val="auto"/>
        </w:rPr>
        <w:t xml:space="preserve">it </w:t>
      </w:r>
      <w:r w:rsidR="00FD30C2">
        <w:rPr>
          <w:rStyle w:val="SubtleEmphasis"/>
          <w:i w:val="0"/>
          <w:iCs w:val="0"/>
          <w:color w:val="auto"/>
        </w:rPr>
        <w:t xml:space="preserve">remains that way today. </w:t>
      </w:r>
    </w:p>
    <w:p w14:paraId="698E5BCA" w14:textId="1B9EE285" w:rsidR="23BED240" w:rsidRDefault="007F173E" w:rsidP="7972E33A">
      <w:pPr>
        <w:rPr>
          <w:rStyle w:val="SubtleEmphasis"/>
          <w:i w:val="0"/>
          <w:iCs w:val="0"/>
          <w:color w:val="auto"/>
        </w:rPr>
      </w:pPr>
      <w:r>
        <w:rPr>
          <w:rStyle w:val="SubtleEmphasis"/>
          <w:i w:val="0"/>
          <w:iCs w:val="0"/>
          <w:color w:val="auto"/>
        </w:rPr>
        <w:t xml:space="preserve">Some of these historic remnants can still be seen today in the form of old farmhouses. </w:t>
      </w:r>
      <w:r w:rsidR="23BED240" w:rsidRPr="7972E33A">
        <w:rPr>
          <w:rStyle w:val="SubtleEmphasis"/>
          <w:i w:val="0"/>
          <w:iCs w:val="0"/>
          <w:color w:val="auto"/>
        </w:rPr>
        <w:t>228 properties in Brentwood were built before the 1970’</w:t>
      </w:r>
      <w:r w:rsidR="7D9DA940" w:rsidRPr="7972E33A">
        <w:rPr>
          <w:rStyle w:val="SubtleEmphasis"/>
          <w:i w:val="0"/>
          <w:iCs w:val="0"/>
          <w:color w:val="auto"/>
        </w:rPr>
        <w:t>s, making</w:t>
      </w:r>
      <w:r w:rsidR="23BED240" w:rsidRPr="7972E33A">
        <w:rPr>
          <w:rStyle w:val="SubtleEmphasis"/>
          <w:i w:val="0"/>
          <w:iCs w:val="0"/>
          <w:color w:val="auto"/>
        </w:rPr>
        <w:t xml:space="preserve"> them over 50 years </w:t>
      </w:r>
      <w:r w:rsidR="51C5F544" w:rsidRPr="7972E33A">
        <w:rPr>
          <w:rStyle w:val="SubtleEmphasis"/>
          <w:i w:val="0"/>
          <w:iCs w:val="0"/>
          <w:color w:val="auto"/>
        </w:rPr>
        <w:t>old,</w:t>
      </w:r>
      <w:r w:rsidR="23BED240" w:rsidRPr="7972E33A">
        <w:rPr>
          <w:rStyle w:val="SubtleEmphasis"/>
          <w:i w:val="0"/>
          <w:iCs w:val="0"/>
          <w:color w:val="auto"/>
        </w:rPr>
        <w:t xml:space="preserve"> which is considered a historic property. That is </w:t>
      </w:r>
      <w:r w:rsidR="267B37D4" w:rsidRPr="7972E33A">
        <w:rPr>
          <w:rStyle w:val="SubtleEmphasis"/>
          <w:i w:val="0"/>
          <w:iCs w:val="0"/>
          <w:color w:val="auto"/>
        </w:rPr>
        <w:t>1</w:t>
      </w:r>
      <w:r w:rsidR="005A0C2D">
        <w:rPr>
          <w:rStyle w:val="SubtleEmphasis"/>
          <w:i w:val="0"/>
          <w:iCs w:val="0"/>
          <w:color w:val="auto"/>
        </w:rPr>
        <w:t>4</w:t>
      </w:r>
      <w:r w:rsidR="267B37D4" w:rsidRPr="7972E33A">
        <w:rPr>
          <w:rStyle w:val="SubtleEmphasis"/>
          <w:i w:val="0"/>
          <w:iCs w:val="0"/>
          <w:color w:val="auto"/>
        </w:rPr>
        <w:t xml:space="preserve">% of the current housing stock. </w:t>
      </w:r>
    </w:p>
    <w:p w14:paraId="065853AF" w14:textId="058F16E7" w:rsidR="00F87DC9" w:rsidRDefault="23BED240" w:rsidP="00F87DC9">
      <w:r>
        <w:rPr>
          <w:noProof/>
        </w:rPr>
        <w:drawing>
          <wp:inline distT="0" distB="0" distL="0" distR="0" wp14:anchorId="51E591ED" wp14:editId="799ED123">
            <wp:extent cx="4239491" cy="3621233"/>
            <wp:effectExtent l="0" t="0" r="2540" b="0"/>
            <wp:docPr id="1419623100" name="Picture 141962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63267" cy="3641542"/>
                    </a:xfrm>
                    <a:prstGeom prst="rect">
                      <a:avLst/>
                    </a:prstGeom>
                  </pic:spPr>
                </pic:pic>
              </a:graphicData>
            </a:graphic>
          </wp:inline>
        </w:drawing>
      </w:r>
    </w:p>
    <w:p w14:paraId="4FEA4BD0" w14:textId="4F3865C9" w:rsidR="00060BE6" w:rsidRDefault="00F87DC9" w:rsidP="00060BE6">
      <w:pPr>
        <w:pStyle w:val="NoSpacing"/>
        <w:rPr>
          <w:sz w:val="22"/>
          <w:szCs w:val="22"/>
        </w:rPr>
      </w:pPr>
      <w:r w:rsidRPr="00F87DC9">
        <w:rPr>
          <w:rFonts w:ascii="Calibri Light" w:hAnsi="Calibri Light"/>
          <w:sz w:val="22"/>
          <w:szCs w:val="22"/>
        </w:rPr>
        <w:t>The</w:t>
      </w:r>
      <w:r w:rsidRPr="00F87DC9">
        <w:rPr>
          <w:sz w:val="22"/>
          <w:szCs w:val="22"/>
        </w:rPr>
        <w:t xml:space="preserve"> largest percent</w:t>
      </w:r>
      <w:r>
        <w:rPr>
          <w:sz w:val="22"/>
          <w:szCs w:val="22"/>
        </w:rPr>
        <w:t>age</w:t>
      </w:r>
      <w:r w:rsidRPr="00F87DC9">
        <w:rPr>
          <w:sz w:val="22"/>
          <w:szCs w:val="22"/>
        </w:rPr>
        <w:t xml:space="preserve"> increase in housing construction in Brentwood </w:t>
      </w:r>
      <w:r>
        <w:rPr>
          <w:sz w:val="22"/>
          <w:szCs w:val="22"/>
        </w:rPr>
        <w:t xml:space="preserve">occurred in the decade from 2000--2009 when 468 new houses were built. This accounted for 28% of the entire housing stock in Town. The decades on both sides of the highwater mark were both very busy as well.  From 1990 – 1999 235 homes were built accounting for 14% of the total stock and from 2010 – 2019 an additional 297 homes accounting for 18% of the total housing stock were constructed.  </w:t>
      </w:r>
      <w:r w:rsidR="00F039CE">
        <w:rPr>
          <w:sz w:val="22"/>
          <w:szCs w:val="22"/>
        </w:rPr>
        <w:t>Most importantly this pie chart revels that since its incorporation in 1741 a little more than 60% of the housing in Brentwood has been constructed in the last thirty-five years.</w:t>
      </w:r>
    </w:p>
    <w:p w14:paraId="3110D3F6" w14:textId="77777777" w:rsidR="00F039CE" w:rsidRDefault="00F039CE" w:rsidP="00060BE6">
      <w:pPr>
        <w:pStyle w:val="NoSpacing"/>
        <w:rPr>
          <w:sz w:val="22"/>
          <w:szCs w:val="22"/>
        </w:rPr>
      </w:pPr>
    </w:p>
    <w:p w14:paraId="42B9F0CB" w14:textId="37CAF47A" w:rsidR="00F039CE" w:rsidRDefault="00F039CE" w:rsidP="00F039CE">
      <w:pPr>
        <w:pStyle w:val="Heading2"/>
      </w:pPr>
      <w:r>
        <w:t>Regulatory Challenges and opportunities for Housijng in Brentwood</w:t>
      </w:r>
      <w:r w:rsidRPr="35A9D9A4">
        <w:t xml:space="preserve"> </w:t>
      </w:r>
    </w:p>
    <w:p w14:paraId="39DB24FD" w14:textId="77777777" w:rsidR="00F039CE" w:rsidRDefault="00F039CE" w:rsidP="00060BE6">
      <w:pPr>
        <w:pStyle w:val="NoSpacing"/>
        <w:rPr>
          <w:sz w:val="22"/>
          <w:szCs w:val="22"/>
        </w:rPr>
      </w:pPr>
    </w:p>
    <w:p w14:paraId="44172E23" w14:textId="7EE4B223" w:rsidR="00F039CE" w:rsidRDefault="00F039CE" w:rsidP="00060BE6">
      <w:pPr>
        <w:pStyle w:val="NoSpacing"/>
        <w:rPr>
          <w:sz w:val="22"/>
          <w:szCs w:val="22"/>
        </w:rPr>
      </w:pPr>
      <w:r>
        <w:rPr>
          <w:sz w:val="22"/>
          <w:szCs w:val="22"/>
        </w:rPr>
        <w:t xml:space="preserve">For quite some time the Brentwood Planning Board has been concerned with the </w:t>
      </w:r>
      <w:r w:rsidR="00486E63">
        <w:rPr>
          <w:sz w:val="22"/>
          <w:szCs w:val="22"/>
        </w:rPr>
        <w:t>single-family</w:t>
      </w:r>
      <w:r>
        <w:rPr>
          <w:sz w:val="22"/>
          <w:szCs w:val="22"/>
        </w:rPr>
        <w:t xml:space="preserve"> monolith that describes housing opportunity in the Town.</w:t>
      </w:r>
      <w:r w:rsidR="00DC250F">
        <w:rPr>
          <w:sz w:val="22"/>
          <w:szCs w:val="22"/>
        </w:rPr>
        <w:t xml:space="preserve">  A series of ordinances</w:t>
      </w:r>
      <w:r>
        <w:rPr>
          <w:sz w:val="22"/>
          <w:szCs w:val="22"/>
        </w:rPr>
        <w:t xml:space="preserve"> </w:t>
      </w:r>
      <w:r w:rsidR="00DC250F">
        <w:rPr>
          <w:sz w:val="22"/>
          <w:szCs w:val="22"/>
        </w:rPr>
        <w:t>have</w:t>
      </w:r>
      <w:r>
        <w:rPr>
          <w:sz w:val="22"/>
          <w:szCs w:val="22"/>
        </w:rPr>
        <w:t xml:space="preserve"> been </w:t>
      </w:r>
      <w:r w:rsidR="00DC250F">
        <w:rPr>
          <w:sz w:val="22"/>
          <w:szCs w:val="22"/>
        </w:rPr>
        <w:t xml:space="preserve">adopted by </w:t>
      </w:r>
      <w:r w:rsidR="00486E63">
        <w:rPr>
          <w:sz w:val="22"/>
          <w:szCs w:val="22"/>
        </w:rPr>
        <w:t>voters and</w:t>
      </w:r>
      <w:r>
        <w:rPr>
          <w:sz w:val="22"/>
          <w:szCs w:val="22"/>
        </w:rPr>
        <w:t xml:space="preserve"> </w:t>
      </w:r>
      <w:r w:rsidR="00DC250F">
        <w:rPr>
          <w:sz w:val="22"/>
          <w:szCs w:val="22"/>
        </w:rPr>
        <w:lastRenderedPageBreak/>
        <w:t xml:space="preserve">subsequently </w:t>
      </w:r>
      <w:r>
        <w:rPr>
          <w:sz w:val="22"/>
          <w:szCs w:val="22"/>
        </w:rPr>
        <w:t>repealed by the voters that have had significant impacts on how housing is provided in Town</w:t>
      </w:r>
      <w:r w:rsidR="0001027C">
        <w:rPr>
          <w:sz w:val="22"/>
          <w:szCs w:val="22"/>
        </w:rPr>
        <w:t>.  These challenges and possible opportunities for addressing these challenges are offered below.</w:t>
      </w:r>
    </w:p>
    <w:p w14:paraId="68826FAA" w14:textId="77777777" w:rsidR="0001027C" w:rsidRDefault="0001027C" w:rsidP="00060BE6">
      <w:pPr>
        <w:pStyle w:val="NoSpacing"/>
        <w:rPr>
          <w:sz w:val="22"/>
          <w:szCs w:val="22"/>
        </w:rPr>
      </w:pPr>
    </w:p>
    <w:p w14:paraId="0DDFEE23" w14:textId="7C22E72B" w:rsidR="009C1CAC" w:rsidRDefault="009C1CAC" w:rsidP="00060BE6">
      <w:pPr>
        <w:pStyle w:val="NoSpacing"/>
        <w:rPr>
          <w:sz w:val="22"/>
          <w:szCs w:val="22"/>
        </w:rPr>
      </w:pPr>
      <w:r>
        <w:rPr>
          <w:sz w:val="22"/>
          <w:szCs w:val="22"/>
        </w:rPr>
        <w:t>Soil Type Lot sizing</w:t>
      </w:r>
    </w:p>
    <w:p w14:paraId="547604FA" w14:textId="01C3F190" w:rsidR="0001027C" w:rsidRDefault="0001027C" w:rsidP="00060BE6">
      <w:pPr>
        <w:pStyle w:val="NoSpacing"/>
        <w:rPr>
          <w:sz w:val="22"/>
          <w:szCs w:val="22"/>
        </w:rPr>
      </w:pPr>
      <w:r>
        <w:rPr>
          <w:sz w:val="22"/>
          <w:szCs w:val="22"/>
        </w:rPr>
        <w:t>For approximately ten years the Planning Board moved away from the requirement that each new house lot in town needed two acres of land</w:t>
      </w:r>
      <w:r w:rsidR="009C1CAC">
        <w:rPr>
          <w:sz w:val="22"/>
          <w:szCs w:val="22"/>
        </w:rPr>
        <w:t>; adopting</w:t>
      </w:r>
      <w:r>
        <w:rPr>
          <w:sz w:val="22"/>
          <w:szCs w:val="22"/>
        </w:rPr>
        <w:t xml:space="preserve"> a system w</w:t>
      </w:r>
      <w:r w:rsidR="009C1CAC">
        <w:rPr>
          <w:sz w:val="22"/>
          <w:szCs w:val="22"/>
        </w:rPr>
        <w:t>h</w:t>
      </w:r>
      <w:r>
        <w:rPr>
          <w:sz w:val="22"/>
          <w:szCs w:val="22"/>
        </w:rPr>
        <w:t>ere the minimum size for a new house lot</w:t>
      </w:r>
      <w:r w:rsidR="009C1CAC">
        <w:rPr>
          <w:sz w:val="22"/>
          <w:szCs w:val="22"/>
        </w:rPr>
        <w:t xml:space="preserve"> was determined by the capacity of the soil to handle septic system effluent.  Soil based lot sizing created one acre lots under </w:t>
      </w:r>
      <w:r w:rsidR="00667A50">
        <w:rPr>
          <w:sz w:val="22"/>
          <w:szCs w:val="22"/>
        </w:rPr>
        <w:t xml:space="preserve">new standards that had to be met by all such </w:t>
      </w:r>
      <w:r w:rsidR="00486E63">
        <w:rPr>
          <w:sz w:val="22"/>
          <w:szCs w:val="22"/>
        </w:rPr>
        <w:t>ordinances</w:t>
      </w:r>
      <w:r w:rsidR="00667A50">
        <w:rPr>
          <w:sz w:val="22"/>
          <w:szCs w:val="22"/>
        </w:rPr>
        <w:t xml:space="preserve"> so the Town made some minor adjyus2015 the State of NH mandated </w:t>
      </w:r>
      <w:r w:rsidR="009C1CAC">
        <w:rPr>
          <w:sz w:val="22"/>
          <w:szCs w:val="22"/>
        </w:rPr>
        <w:t>the best conditions in Town.  This increased density allowed for better use of the land in several development projects throughout town.  Basing density on scientific factors instead of arbitrary lot size is also far easier to defend in any court proceeding.  The Town could consider re-adopting soil type lot sizing and achieve greater density for housing while remaining environmentally sensitive.</w:t>
      </w:r>
    </w:p>
    <w:p w14:paraId="66121DB5" w14:textId="77777777" w:rsidR="009C1CAC" w:rsidRDefault="009C1CAC" w:rsidP="00060BE6">
      <w:pPr>
        <w:pStyle w:val="NoSpacing"/>
        <w:rPr>
          <w:sz w:val="22"/>
          <w:szCs w:val="22"/>
        </w:rPr>
      </w:pPr>
    </w:p>
    <w:p w14:paraId="0337DDF9" w14:textId="601EAA2B" w:rsidR="00425E07" w:rsidRDefault="00425E07" w:rsidP="00060BE6">
      <w:pPr>
        <w:pStyle w:val="NoSpacing"/>
        <w:rPr>
          <w:sz w:val="22"/>
          <w:szCs w:val="22"/>
        </w:rPr>
      </w:pPr>
      <w:r>
        <w:rPr>
          <w:sz w:val="22"/>
          <w:szCs w:val="22"/>
        </w:rPr>
        <w:t>Workforce Housing</w:t>
      </w:r>
    </w:p>
    <w:p w14:paraId="13C43365" w14:textId="67C5DCDE" w:rsidR="009C1CAC" w:rsidRDefault="009C1CAC" w:rsidP="00060BE6">
      <w:pPr>
        <w:pStyle w:val="NoSpacing"/>
        <w:rPr>
          <w:sz w:val="22"/>
          <w:szCs w:val="22"/>
        </w:rPr>
      </w:pPr>
      <w:r>
        <w:rPr>
          <w:sz w:val="22"/>
          <w:szCs w:val="22"/>
        </w:rPr>
        <w:t xml:space="preserve">The </w:t>
      </w:r>
      <w:r w:rsidR="00CE29CC">
        <w:rPr>
          <w:sz w:val="22"/>
          <w:szCs w:val="22"/>
        </w:rPr>
        <w:t xml:space="preserve">inability to create workforce housing in Town has been described earlier in this chapter.  The State requirement that all communities must make provision for the creation of workforce housing is not going to be eliminated.  Until the town re-adopts a workforce housing ordinance that complies with the state mandate and that is </w:t>
      </w:r>
      <w:r w:rsidR="00425E07">
        <w:rPr>
          <w:sz w:val="22"/>
          <w:szCs w:val="22"/>
        </w:rPr>
        <w:t>acceptable</w:t>
      </w:r>
      <w:r w:rsidR="00CE29CC">
        <w:rPr>
          <w:sz w:val="22"/>
          <w:szCs w:val="22"/>
        </w:rPr>
        <w:t xml:space="preserve"> to the voters, Brentwood is in awkward position.  A developer could propose a workforce housing project and in the absence of a local ordinance could sue the Town</w:t>
      </w:r>
      <w:r w:rsidR="00425E07">
        <w:rPr>
          <w:sz w:val="22"/>
          <w:szCs w:val="22"/>
        </w:rPr>
        <w:t xml:space="preserve">.  Such a court proceeding can result is the developer being given a builder’s remedy.  Such actions when granted, allow the construction of housing projects with no oversight by the Town.  To avoid this </w:t>
      </w:r>
      <w:r w:rsidR="00486E63">
        <w:rPr>
          <w:sz w:val="22"/>
          <w:szCs w:val="22"/>
        </w:rPr>
        <w:t>worst-case</w:t>
      </w:r>
      <w:r w:rsidR="00425E07">
        <w:rPr>
          <w:sz w:val="22"/>
          <w:szCs w:val="22"/>
        </w:rPr>
        <w:t xml:space="preserve"> scenario the Town needs to develop and adopt a workforce housing ordinance.</w:t>
      </w:r>
    </w:p>
    <w:p w14:paraId="5ABC6260" w14:textId="77777777" w:rsidR="00425E07" w:rsidRDefault="00425E07" w:rsidP="00060BE6">
      <w:pPr>
        <w:pStyle w:val="NoSpacing"/>
        <w:rPr>
          <w:sz w:val="22"/>
          <w:szCs w:val="22"/>
        </w:rPr>
      </w:pPr>
    </w:p>
    <w:p w14:paraId="4150C899" w14:textId="697A2F72" w:rsidR="00425E07" w:rsidRDefault="00E61B85" w:rsidP="00060BE6">
      <w:pPr>
        <w:pStyle w:val="NoSpacing"/>
        <w:rPr>
          <w:sz w:val="22"/>
          <w:szCs w:val="22"/>
        </w:rPr>
      </w:pPr>
      <w:r>
        <w:rPr>
          <w:sz w:val="22"/>
          <w:szCs w:val="22"/>
        </w:rPr>
        <w:t>Multi-Family Housing</w:t>
      </w:r>
    </w:p>
    <w:p w14:paraId="61D1E8EB" w14:textId="69F8E5B6" w:rsidR="00E61B85" w:rsidRDefault="00E61B85" w:rsidP="00060BE6">
      <w:pPr>
        <w:pStyle w:val="NoSpacing"/>
        <w:rPr>
          <w:sz w:val="22"/>
          <w:szCs w:val="22"/>
        </w:rPr>
      </w:pPr>
      <w:r>
        <w:rPr>
          <w:sz w:val="22"/>
          <w:szCs w:val="22"/>
        </w:rPr>
        <w:t>The Town adopted a multi-family zoning ordi</w:t>
      </w:r>
      <w:r w:rsidR="004174EA">
        <w:rPr>
          <w:sz w:val="22"/>
          <w:szCs w:val="22"/>
        </w:rPr>
        <w:t xml:space="preserve">nance in 1991.  Evidence of its ineffectiveness is that </w:t>
      </w:r>
      <w:r w:rsidR="00486E63">
        <w:rPr>
          <w:sz w:val="22"/>
          <w:szCs w:val="22"/>
        </w:rPr>
        <w:t>only</w:t>
      </w:r>
      <w:r w:rsidR="004174EA">
        <w:rPr>
          <w:sz w:val="22"/>
          <w:szCs w:val="22"/>
        </w:rPr>
        <w:t xml:space="preserve"> one development has been constructed using it.  A town the size of Brentwood that has no effective way of creating apartment style housing is unacceptable. The town needs to reevaluate the goals of the existing ordinance as well as the district’s location.  The NH 125 and NH 27 corridors are perfect locations for multi-family apartment structures.  Re-writing the existing code is not an easy endeavor.  Time and care are required to draft an ordinance that could contain elements of mixed use, higher density and more flexible site plan design </w:t>
      </w:r>
      <w:r w:rsidR="00667A50">
        <w:rPr>
          <w:sz w:val="22"/>
          <w:szCs w:val="22"/>
        </w:rPr>
        <w:t>elements</w:t>
      </w:r>
      <w:r w:rsidR="004174EA">
        <w:rPr>
          <w:sz w:val="22"/>
          <w:szCs w:val="22"/>
        </w:rPr>
        <w:t xml:space="preserve">. </w:t>
      </w:r>
      <w:r w:rsidR="00667A50">
        <w:rPr>
          <w:sz w:val="22"/>
          <w:szCs w:val="22"/>
        </w:rPr>
        <w:t>The degree of effort required should not prohibit the good that could come to the community by way of greater housing opportunity.</w:t>
      </w:r>
    </w:p>
    <w:p w14:paraId="027DA599" w14:textId="77777777" w:rsidR="00667A50" w:rsidRDefault="00667A50" w:rsidP="00060BE6">
      <w:pPr>
        <w:pStyle w:val="NoSpacing"/>
        <w:rPr>
          <w:sz w:val="22"/>
          <w:szCs w:val="22"/>
        </w:rPr>
      </w:pPr>
    </w:p>
    <w:p w14:paraId="129AA3EC" w14:textId="42C556EA" w:rsidR="00667A50" w:rsidRDefault="00667A50" w:rsidP="00060BE6">
      <w:pPr>
        <w:pStyle w:val="NoSpacing"/>
        <w:rPr>
          <w:sz w:val="22"/>
          <w:szCs w:val="22"/>
        </w:rPr>
      </w:pPr>
      <w:r>
        <w:rPr>
          <w:sz w:val="22"/>
          <w:szCs w:val="22"/>
        </w:rPr>
        <w:t>Accessory Dwelling Units / Tiny Houses.</w:t>
      </w:r>
    </w:p>
    <w:p w14:paraId="5F52A36B" w14:textId="77777777" w:rsidR="00667A50" w:rsidRDefault="00667A50" w:rsidP="00060BE6">
      <w:pPr>
        <w:pStyle w:val="NoSpacing"/>
        <w:rPr>
          <w:sz w:val="22"/>
          <w:szCs w:val="22"/>
        </w:rPr>
      </w:pPr>
    </w:p>
    <w:p w14:paraId="733FEDB9" w14:textId="625BAFF3" w:rsidR="00425E07" w:rsidRDefault="00667A50" w:rsidP="00060BE6">
      <w:pPr>
        <w:pStyle w:val="NoSpacing"/>
        <w:rPr>
          <w:sz w:val="22"/>
          <w:szCs w:val="22"/>
        </w:rPr>
      </w:pPr>
      <w:r>
        <w:rPr>
          <w:sz w:val="22"/>
          <w:szCs w:val="22"/>
        </w:rPr>
        <w:t xml:space="preserve">The only manner in which new rental construction has occurred in Brentwood is by way of Accessory Dwelling Units (ADU).  These are apartments created within existing residential structures of either one or two bedrooms in size.  The ability to create these units has been inn our zoning </w:t>
      </w:r>
      <w:r w:rsidR="002C12D2">
        <w:rPr>
          <w:sz w:val="22"/>
          <w:szCs w:val="22"/>
        </w:rPr>
        <w:t>ordinance</w:t>
      </w:r>
      <w:r>
        <w:rPr>
          <w:sz w:val="22"/>
          <w:szCs w:val="22"/>
        </w:rPr>
        <w:t xml:space="preserve"> for decades.  In 2015, the State of NH made such units mandatory for all communities and this resulted in the necessity to make minor changes to our local ordinance.</w:t>
      </w:r>
      <w:r w:rsidR="002C12D2">
        <w:rPr>
          <w:sz w:val="22"/>
          <w:szCs w:val="22"/>
        </w:rPr>
        <w:t xml:space="preserve">  Although not considered to be appropriate in the past, the </w:t>
      </w:r>
      <w:r w:rsidR="002C12D2">
        <w:rPr>
          <w:sz w:val="22"/>
          <w:szCs w:val="22"/>
        </w:rPr>
        <w:lastRenderedPageBreak/>
        <w:t xml:space="preserve">Town may wish to consider widening the rules for ADU’s to allow for their placement outside of an existing residential home.  Referred to as detached ADU’s these units may be </w:t>
      </w:r>
      <w:r w:rsidR="00801E37">
        <w:rPr>
          <w:sz w:val="22"/>
          <w:szCs w:val="22"/>
        </w:rPr>
        <w:t>constructed</w:t>
      </w:r>
      <w:r w:rsidR="002C12D2">
        <w:rPr>
          <w:sz w:val="22"/>
          <w:szCs w:val="22"/>
        </w:rPr>
        <w:t xml:space="preserve"> </w:t>
      </w:r>
      <w:r w:rsidR="00801E37">
        <w:rPr>
          <w:sz w:val="22"/>
          <w:szCs w:val="22"/>
        </w:rPr>
        <w:t>in</w:t>
      </w:r>
      <w:r w:rsidR="002C12D2">
        <w:rPr>
          <w:sz w:val="22"/>
          <w:szCs w:val="22"/>
        </w:rPr>
        <w:t xml:space="preserve"> barns and carriage </w:t>
      </w:r>
      <w:r w:rsidR="00801E37">
        <w:rPr>
          <w:sz w:val="22"/>
          <w:szCs w:val="22"/>
        </w:rPr>
        <w:t>houses or</w:t>
      </w:r>
      <w:r w:rsidR="002C12D2">
        <w:rPr>
          <w:sz w:val="22"/>
          <w:szCs w:val="22"/>
        </w:rPr>
        <w:t xml:space="preserve"> as </w:t>
      </w:r>
      <w:r w:rsidR="00801E37">
        <w:rPr>
          <w:sz w:val="22"/>
          <w:szCs w:val="22"/>
        </w:rPr>
        <w:t>standalone</w:t>
      </w:r>
      <w:r w:rsidR="002C12D2">
        <w:rPr>
          <w:sz w:val="22"/>
          <w:szCs w:val="22"/>
        </w:rPr>
        <w:t xml:space="preserve"> struct</w:t>
      </w:r>
      <w:r w:rsidR="00970441">
        <w:rPr>
          <w:sz w:val="22"/>
          <w:szCs w:val="22"/>
        </w:rPr>
        <w:t>u</w:t>
      </w:r>
      <w:r w:rsidR="002C12D2">
        <w:rPr>
          <w:sz w:val="22"/>
          <w:szCs w:val="22"/>
        </w:rPr>
        <w:t>re</w:t>
      </w:r>
      <w:r w:rsidR="00970441">
        <w:rPr>
          <w:sz w:val="22"/>
          <w:szCs w:val="22"/>
        </w:rPr>
        <w:t>s</w:t>
      </w:r>
      <w:r w:rsidR="002C12D2">
        <w:rPr>
          <w:sz w:val="22"/>
          <w:szCs w:val="22"/>
        </w:rPr>
        <w:t>.</w:t>
      </w:r>
      <w:r w:rsidR="00970441">
        <w:rPr>
          <w:sz w:val="22"/>
          <w:szCs w:val="22"/>
        </w:rPr>
        <w:t xml:space="preserve">  M</w:t>
      </w:r>
      <w:r w:rsidR="002C12D2">
        <w:rPr>
          <w:sz w:val="22"/>
          <w:szCs w:val="22"/>
        </w:rPr>
        <w:t>aking this shift in the ordinance will require creating standards that will protect the visual single</w:t>
      </w:r>
      <w:r w:rsidR="00970441">
        <w:rPr>
          <w:sz w:val="22"/>
          <w:szCs w:val="22"/>
        </w:rPr>
        <w:t>-</w:t>
      </w:r>
      <w:r w:rsidR="002C12D2">
        <w:rPr>
          <w:sz w:val="22"/>
          <w:szCs w:val="22"/>
        </w:rPr>
        <w:t>family nature of Brentwood</w:t>
      </w:r>
      <w:r w:rsidR="00970441">
        <w:rPr>
          <w:sz w:val="22"/>
          <w:szCs w:val="22"/>
        </w:rPr>
        <w:t>’s</w:t>
      </w:r>
      <w:r w:rsidR="002C12D2">
        <w:rPr>
          <w:sz w:val="22"/>
          <w:szCs w:val="22"/>
        </w:rPr>
        <w:t xml:space="preserve"> residential agricultural zoning district.</w:t>
      </w:r>
    </w:p>
    <w:p w14:paraId="7279D9F6" w14:textId="724CA6A9" w:rsidR="004401D5" w:rsidRDefault="00970441" w:rsidP="004401D5">
      <w:pPr>
        <w:pStyle w:val="NoSpacing"/>
        <w:rPr>
          <w:sz w:val="22"/>
          <w:szCs w:val="22"/>
        </w:rPr>
      </w:pPr>
      <w:r>
        <w:rPr>
          <w:sz w:val="22"/>
          <w:szCs w:val="22"/>
        </w:rPr>
        <w:t xml:space="preserve">The Planning Board has been asked in the recent past to consider whether the construction of tiny houses could be a practical response to the Statewide housing shortage.  The concept </w:t>
      </w:r>
      <w:r w:rsidR="004401D5">
        <w:rPr>
          <w:sz w:val="22"/>
          <w:szCs w:val="22"/>
        </w:rPr>
        <w:t xml:space="preserve">behind tiny houses is abandoning the concept that a home needs to be 2,000 square feet or larger and instead choosing to live homes of less than 800 square feet on average.  This dramatically reduces the cost of the dwelling unit.  The challenge for the Town becomes determining if these structures can be located on lots smaller than the required two acres.  A tiny house costing </w:t>
      </w:r>
      <w:r w:rsidR="00FD47F0">
        <w:rPr>
          <w:sz w:val="22"/>
          <w:szCs w:val="22"/>
        </w:rPr>
        <w:t>$</w:t>
      </w:r>
      <w:r w:rsidR="004401D5">
        <w:rPr>
          <w:sz w:val="22"/>
          <w:szCs w:val="22"/>
        </w:rPr>
        <w:t xml:space="preserve">30,000 to construct </w:t>
      </w:r>
      <w:r w:rsidR="00FD47F0">
        <w:rPr>
          <w:sz w:val="22"/>
          <w:szCs w:val="22"/>
        </w:rPr>
        <w:t>immediately</w:t>
      </w:r>
      <w:r w:rsidR="004401D5">
        <w:rPr>
          <w:sz w:val="22"/>
          <w:szCs w:val="22"/>
        </w:rPr>
        <w:t xml:space="preserve"> becomes less </w:t>
      </w:r>
      <w:r w:rsidR="00FD47F0">
        <w:rPr>
          <w:sz w:val="22"/>
          <w:szCs w:val="22"/>
        </w:rPr>
        <w:t>economically</w:t>
      </w:r>
      <w:r w:rsidR="004401D5">
        <w:rPr>
          <w:sz w:val="22"/>
          <w:szCs w:val="22"/>
        </w:rPr>
        <w:t xml:space="preserve"> viable if it is required to be placed on a site</w:t>
      </w:r>
      <w:r w:rsidR="00FD47F0">
        <w:rPr>
          <w:sz w:val="22"/>
          <w:szCs w:val="22"/>
        </w:rPr>
        <w:t xml:space="preserve"> </w:t>
      </w:r>
      <w:r w:rsidR="004401D5">
        <w:rPr>
          <w:sz w:val="22"/>
          <w:szCs w:val="22"/>
        </w:rPr>
        <w:t>of land that cost</w:t>
      </w:r>
      <w:r w:rsidR="00FD47F0">
        <w:rPr>
          <w:sz w:val="22"/>
          <w:szCs w:val="22"/>
        </w:rPr>
        <w:t>s $200,000.  The Town would need to consider allowing developments with smaller lot sizes to maintain affordability.</w:t>
      </w:r>
    </w:p>
    <w:p w14:paraId="04713466" w14:textId="77777777" w:rsidR="00777F70" w:rsidRDefault="00777F70" w:rsidP="00060BE6">
      <w:pPr>
        <w:pStyle w:val="NoSpacing"/>
        <w:rPr>
          <w:sz w:val="22"/>
          <w:szCs w:val="22"/>
        </w:rPr>
      </w:pPr>
    </w:p>
    <w:p w14:paraId="57C7D4C6" w14:textId="401BC569" w:rsidR="00FD47F0" w:rsidRDefault="00FD47F0" w:rsidP="00060BE6">
      <w:pPr>
        <w:pStyle w:val="NoSpacing"/>
        <w:rPr>
          <w:sz w:val="22"/>
          <w:szCs w:val="22"/>
        </w:rPr>
      </w:pPr>
      <w:r>
        <w:rPr>
          <w:sz w:val="22"/>
          <w:szCs w:val="22"/>
        </w:rPr>
        <w:t>Municipal Housing Authority</w:t>
      </w:r>
    </w:p>
    <w:p w14:paraId="7B15DFC6" w14:textId="3790911D" w:rsidR="00FD47F0" w:rsidRPr="00F87DC9" w:rsidRDefault="00FD47F0" w:rsidP="00060BE6">
      <w:pPr>
        <w:pStyle w:val="NoSpacing"/>
        <w:rPr>
          <w:sz w:val="22"/>
          <w:szCs w:val="22"/>
        </w:rPr>
      </w:pPr>
      <w:r>
        <w:rPr>
          <w:sz w:val="22"/>
          <w:szCs w:val="22"/>
        </w:rPr>
        <w:t>Many larger communities in NH been very proactive in addressing housing affordability.  One way to do this is to have a municipality create housing for its residents.  Housing authorities raise tax dollars for the purchase of land and the construction of rental units (duplexe</w:t>
      </w:r>
      <w:r w:rsidR="00777F70">
        <w:rPr>
          <w:sz w:val="22"/>
          <w:szCs w:val="22"/>
        </w:rPr>
        <w:t>s</w:t>
      </w:r>
      <w:r>
        <w:rPr>
          <w:sz w:val="22"/>
          <w:szCs w:val="22"/>
        </w:rPr>
        <w:t xml:space="preserve">, triplexes and multi-family structures) that may then be rented to </w:t>
      </w:r>
      <w:r w:rsidR="00777F70">
        <w:rPr>
          <w:sz w:val="22"/>
          <w:szCs w:val="22"/>
        </w:rPr>
        <w:t>residents</w:t>
      </w:r>
      <w:r>
        <w:rPr>
          <w:sz w:val="22"/>
          <w:szCs w:val="22"/>
        </w:rPr>
        <w:t xml:space="preserve"> at less than market rate rentals.  The Town of Brentwood may choose to investigate this opportunity in the future. </w:t>
      </w:r>
    </w:p>
    <w:p w14:paraId="4F4C25A2" w14:textId="5CCA173C" w:rsidR="00D5573A" w:rsidRDefault="00B152CD" w:rsidP="00B152CD">
      <w:pPr>
        <w:pStyle w:val="Heading1"/>
      </w:pPr>
      <w:r>
        <w:t xml:space="preserve">Housing Goals and Actions </w:t>
      </w:r>
    </w:p>
    <w:p w14:paraId="43B56945" w14:textId="0C9DA35C" w:rsidR="00060BE6" w:rsidRDefault="00060BE6" w:rsidP="00D02DC2">
      <w:r>
        <w:t xml:space="preserve">Based on </w:t>
      </w:r>
      <w:r w:rsidR="00EF1E9A">
        <w:t>data provided here, the community housing survey, community engagement, and an audit of existing ordinances, the following goals and action items were drafted:</w:t>
      </w:r>
    </w:p>
    <w:p w14:paraId="2CE2F862" w14:textId="448FF270" w:rsidR="00633D1E" w:rsidRDefault="00D02DC2" w:rsidP="00D02DC2">
      <w:r w:rsidRPr="00633D1E">
        <w:rPr>
          <w:b/>
          <w:bCs/>
        </w:rPr>
        <w:t xml:space="preserve">Goal 1 - Review </w:t>
      </w:r>
      <w:r w:rsidR="00EA6C3A">
        <w:rPr>
          <w:b/>
          <w:bCs/>
        </w:rPr>
        <w:t xml:space="preserve">and Monitor </w:t>
      </w:r>
      <w:r w:rsidR="00633D1E">
        <w:rPr>
          <w:b/>
          <w:bCs/>
        </w:rPr>
        <w:t>H</w:t>
      </w:r>
      <w:r w:rsidRPr="00633D1E">
        <w:rPr>
          <w:b/>
          <w:bCs/>
        </w:rPr>
        <w:t xml:space="preserve">ousing </w:t>
      </w:r>
      <w:r w:rsidR="00633D1E">
        <w:rPr>
          <w:b/>
          <w:bCs/>
        </w:rPr>
        <w:t>R</w:t>
      </w:r>
      <w:r w:rsidRPr="00633D1E">
        <w:rPr>
          <w:b/>
          <w:bCs/>
        </w:rPr>
        <w:t>egulations</w:t>
      </w:r>
    </w:p>
    <w:p w14:paraId="7781F19B" w14:textId="26588494" w:rsidR="00EF1E9A" w:rsidRDefault="00D02DC2" w:rsidP="00D02DC2">
      <w:pPr>
        <w:rPr>
          <w:u w:val="single"/>
        </w:rPr>
      </w:pPr>
      <w:r w:rsidRPr="00EF1E9A">
        <w:rPr>
          <w:u w:val="single"/>
        </w:rPr>
        <w:t>Actions</w:t>
      </w:r>
    </w:p>
    <w:p w14:paraId="3B18E2F3" w14:textId="384E6583" w:rsidR="00EF1E9A" w:rsidRDefault="00D02DC2" w:rsidP="00EA6C3A">
      <w:pPr>
        <w:pStyle w:val="ListParagraph"/>
        <w:numPr>
          <w:ilvl w:val="0"/>
          <w:numId w:val="29"/>
        </w:numPr>
        <w:ind w:left="720"/>
      </w:pPr>
      <w:r w:rsidRPr="00752E43">
        <w:t xml:space="preserve">Review the findings of the Brentwood Land Use Regulatory Audit to prioritize potential regulatory tools </w:t>
      </w:r>
      <w:r w:rsidR="00EA6C3A" w:rsidRPr="00752E43">
        <w:t xml:space="preserve">to increase housing diversity </w:t>
      </w:r>
      <w:r w:rsidR="00EA6C3A">
        <w:t>while meeting</w:t>
      </w:r>
      <w:r w:rsidR="00EA6C3A" w:rsidRPr="00752E43">
        <w:t xml:space="preserve"> other Brentwood goals of maintaining rural character and fiscal responsibility</w:t>
      </w:r>
      <w:r w:rsidRPr="00752E43">
        <w:t xml:space="preserve">. </w:t>
      </w:r>
    </w:p>
    <w:p w14:paraId="5BA50CF9" w14:textId="77777777" w:rsidR="00633D1E" w:rsidRDefault="00D02DC2" w:rsidP="00EA6C3A">
      <w:pPr>
        <w:pStyle w:val="ListParagraph"/>
        <w:numPr>
          <w:ilvl w:val="0"/>
          <w:numId w:val="29"/>
        </w:numPr>
        <w:ind w:left="720"/>
      </w:pPr>
      <w:r w:rsidRPr="00752E43">
        <w:t>Continue to monitor the Town's housing stock on an annual basis through building permits issued and applications filed with land use boards. </w:t>
      </w:r>
    </w:p>
    <w:p w14:paraId="5C8CAF58" w14:textId="77777777" w:rsidR="00633D1E" w:rsidRDefault="00D02DC2" w:rsidP="00EA6C3A">
      <w:pPr>
        <w:pStyle w:val="ListParagraph"/>
        <w:numPr>
          <w:ilvl w:val="0"/>
          <w:numId w:val="29"/>
        </w:numPr>
        <w:ind w:left="720"/>
      </w:pPr>
      <w:r w:rsidRPr="00752E43">
        <w:t>Continue to engage and educate Brentwood residents on the impact of potential housing related regulations. This should include engaging a variety of town entities and groups - such as the library - to help facilitate educational opportunities. A variety of engagement techniques should be used, and may include conducting tours of varies housing types in Brentwood or neighboring communities. </w:t>
      </w:r>
    </w:p>
    <w:p w14:paraId="79B43F29" w14:textId="77777777" w:rsidR="00777F70" w:rsidRDefault="00777F70" w:rsidP="00633D1E">
      <w:pPr>
        <w:rPr>
          <w:b/>
          <w:bCs/>
        </w:rPr>
      </w:pPr>
    </w:p>
    <w:p w14:paraId="675B1D8E" w14:textId="77777777" w:rsidR="00777F70" w:rsidRDefault="00777F70" w:rsidP="00633D1E">
      <w:pPr>
        <w:rPr>
          <w:b/>
          <w:bCs/>
        </w:rPr>
      </w:pPr>
    </w:p>
    <w:p w14:paraId="09E3786F" w14:textId="12E7F2D2" w:rsidR="00633D1E" w:rsidRPr="00633D1E" w:rsidRDefault="00D02DC2" w:rsidP="00633D1E">
      <w:pPr>
        <w:rPr>
          <w:b/>
          <w:bCs/>
        </w:rPr>
      </w:pPr>
      <w:r w:rsidRPr="00633D1E">
        <w:rPr>
          <w:b/>
          <w:bCs/>
        </w:rPr>
        <w:lastRenderedPageBreak/>
        <w:t>Goal 2 - Increase Housing While Retaining Rural Character</w:t>
      </w:r>
    </w:p>
    <w:p w14:paraId="1074BE8F" w14:textId="01CE3DAB" w:rsidR="00633D1E" w:rsidRDefault="00D02DC2" w:rsidP="00633D1E">
      <w:r w:rsidRPr="00633D1E">
        <w:rPr>
          <w:u w:val="single"/>
        </w:rPr>
        <w:t>Actions</w:t>
      </w:r>
    </w:p>
    <w:p w14:paraId="07E6914E" w14:textId="60208B95" w:rsidR="00633D1E" w:rsidRDefault="00D02DC2" w:rsidP="00633D1E">
      <w:pPr>
        <w:pStyle w:val="ListParagraph"/>
        <w:numPr>
          <w:ilvl w:val="0"/>
          <w:numId w:val="28"/>
        </w:numPr>
      </w:pPr>
      <w:r w:rsidRPr="00752E43">
        <w:t>Consider expanding the Accessory Dwelling ordinance to include detached dwellings that resemble garages and barns typically found in Brentwood or allowing Accessory Dwellings within existing detached structures.</w:t>
      </w:r>
    </w:p>
    <w:p w14:paraId="4BD0CFCF" w14:textId="77777777" w:rsidR="00633D1E" w:rsidRDefault="00D02DC2" w:rsidP="00633D1E">
      <w:pPr>
        <w:pStyle w:val="ListParagraph"/>
        <w:numPr>
          <w:ilvl w:val="0"/>
          <w:numId w:val="28"/>
        </w:numPr>
      </w:pPr>
      <w:r w:rsidRPr="00752E43">
        <w:t>Consider studying the current Cluster Development ordinance to ensure it is protecting land while allowing housing production</w:t>
      </w:r>
    </w:p>
    <w:p w14:paraId="4D391F59" w14:textId="1E14F1ED" w:rsidR="00633D1E" w:rsidRDefault="00EA6C3A" w:rsidP="00EA6C3A">
      <w:pPr>
        <w:pStyle w:val="ListParagraph"/>
        <w:numPr>
          <w:ilvl w:val="0"/>
          <w:numId w:val="28"/>
        </w:numPr>
      </w:pPr>
      <w:r>
        <w:t>Investigate</w:t>
      </w:r>
      <w:r w:rsidR="00D02DC2" w:rsidRPr="00752E43">
        <w:t xml:space="preserve"> allowing more diverse housing types, </w:t>
      </w:r>
      <w:r>
        <w:t>which might include further</w:t>
      </w:r>
      <w:r w:rsidR="00D02DC2" w:rsidRPr="00752E43">
        <w:t xml:space="preserve"> development of ordinances that allow </w:t>
      </w:r>
      <w:r w:rsidR="00777F70">
        <w:t xml:space="preserve">for tiny home construction, </w:t>
      </w:r>
      <w:r w:rsidR="00D02DC2" w:rsidRPr="00752E43">
        <w:t xml:space="preserve">duplexes, mixed use, and multi-family housing. Additionally, explore the feasibility of </w:t>
      </w:r>
      <w:r>
        <w:t>creating a</w:t>
      </w:r>
      <w:r w:rsidR="00D02DC2" w:rsidRPr="00752E43">
        <w:t xml:space="preserve"> municipally owned housing</w:t>
      </w:r>
      <w:r>
        <w:t xml:space="preserve"> project</w:t>
      </w:r>
      <w:r w:rsidR="00D02DC2" w:rsidRPr="00752E43">
        <w:t>.</w:t>
      </w:r>
    </w:p>
    <w:p w14:paraId="3E5D2037" w14:textId="77777777" w:rsidR="00EA6C3A" w:rsidRDefault="00D02DC2" w:rsidP="00633D1E">
      <w:pPr>
        <w:rPr>
          <w:b/>
          <w:bCs/>
        </w:rPr>
      </w:pPr>
      <w:r w:rsidRPr="00EA6C3A">
        <w:rPr>
          <w:b/>
          <w:bCs/>
        </w:rPr>
        <w:t>Goal 3 - Ensure Compliance with Workforce Housing RSA 674:58-61</w:t>
      </w:r>
    </w:p>
    <w:p w14:paraId="44D8AC61" w14:textId="77777777" w:rsidR="00EA6C3A" w:rsidRPr="00EA6C3A" w:rsidRDefault="00D02DC2" w:rsidP="00633D1E">
      <w:pPr>
        <w:rPr>
          <w:u w:val="single"/>
        </w:rPr>
      </w:pPr>
      <w:r w:rsidRPr="00EA6C3A">
        <w:rPr>
          <w:u w:val="single"/>
        </w:rPr>
        <w:t>Actions</w:t>
      </w:r>
    </w:p>
    <w:p w14:paraId="01394464" w14:textId="0D015D10" w:rsidR="00EA6C3A" w:rsidRDefault="00D02DC2" w:rsidP="00EA6C3A">
      <w:pPr>
        <w:pStyle w:val="ListParagraph"/>
        <w:numPr>
          <w:ilvl w:val="0"/>
          <w:numId w:val="31"/>
        </w:numPr>
      </w:pPr>
      <w:r w:rsidRPr="00752E43">
        <w:t xml:space="preserve">Consider </w:t>
      </w:r>
      <w:r w:rsidR="00EA6C3A">
        <w:t>adopting</w:t>
      </w:r>
      <w:r w:rsidRPr="00752E43">
        <w:t xml:space="preserve"> a Workforce Housing ordinance, using the ordinance that was repealed in 2010 as a starting place. </w:t>
      </w:r>
    </w:p>
    <w:p w14:paraId="3E62B848" w14:textId="77777777" w:rsidR="00EA6C3A" w:rsidRDefault="00D02DC2" w:rsidP="00EA6C3A">
      <w:pPr>
        <w:pStyle w:val="ListParagraph"/>
        <w:numPr>
          <w:ilvl w:val="0"/>
          <w:numId w:val="31"/>
        </w:numPr>
      </w:pPr>
      <w:r w:rsidRPr="00752E43">
        <w:t>Continue to monitor the Town's compliance with the Workforce Housing RSA.</w:t>
      </w:r>
    </w:p>
    <w:p w14:paraId="146A42C0" w14:textId="77777777" w:rsidR="00EA6C3A" w:rsidRDefault="00D02DC2" w:rsidP="00EA6C3A">
      <w:pPr>
        <w:pStyle w:val="ListParagraph"/>
        <w:numPr>
          <w:ilvl w:val="0"/>
          <w:numId w:val="31"/>
        </w:numPr>
      </w:pPr>
      <w:r w:rsidRPr="00752E43">
        <w:t>Continue to consider regulations to ensure fair and equitable housing opportunities without endangering Brentwood's resources.</w:t>
      </w:r>
    </w:p>
    <w:p w14:paraId="7CC23BB8" w14:textId="421E8310" w:rsidR="002F149E" w:rsidRDefault="00D02DC2" w:rsidP="002F149E">
      <w:pPr>
        <w:pStyle w:val="ListParagraph"/>
        <w:numPr>
          <w:ilvl w:val="0"/>
          <w:numId w:val="31"/>
        </w:numPr>
      </w:pPr>
      <w:r w:rsidRPr="00752E43">
        <w:t>Continue to engage and educate Brentwood residents on the definition of workforce housing.</w:t>
      </w:r>
    </w:p>
    <w:sectPr w:rsidR="002F149E" w:rsidSect="00F477DD">
      <w:headerReference w:type="default" r:id="rId15"/>
      <w:footerReference w:type="default" r:id="rId16"/>
      <w:footerReference w:type="first" r:id="rId17"/>
      <w:pgSz w:w="12240" w:h="15840"/>
      <w:pgMar w:top="18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8380" w14:textId="77777777" w:rsidR="00593029" w:rsidRDefault="00593029" w:rsidP="009B674D">
      <w:r>
        <w:separator/>
      </w:r>
    </w:p>
  </w:endnote>
  <w:endnote w:type="continuationSeparator" w:id="0">
    <w:p w14:paraId="0DB16959" w14:textId="77777777" w:rsidR="00593029" w:rsidRDefault="00593029" w:rsidP="009B674D">
      <w:r>
        <w:continuationSeparator/>
      </w:r>
    </w:p>
  </w:endnote>
  <w:endnote w:type="continuationNotice" w:id="1">
    <w:p w14:paraId="6165FCC7" w14:textId="77777777" w:rsidR="00593029" w:rsidRDefault="005930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891099"/>
      <w:docPartObj>
        <w:docPartGallery w:val="Page Numbers (Bottom of Page)"/>
        <w:docPartUnique/>
      </w:docPartObj>
    </w:sdtPr>
    <w:sdtEndPr>
      <w:rPr>
        <w:color w:val="7F7F7F" w:themeColor="background1" w:themeShade="7F"/>
        <w:spacing w:val="60"/>
      </w:rPr>
    </w:sdtEndPr>
    <w:sdtContent>
      <w:p w14:paraId="0206AA85" w14:textId="603758CA" w:rsidR="00F94901" w:rsidRDefault="00F9490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4C454C0" w14:textId="77777777" w:rsidR="00F94901" w:rsidRDefault="00F94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CD9C" w14:textId="54A3DCC5" w:rsidR="00F94901" w:rsidRDefault="00F9490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766C7B30" w14:textId="77777777" w:rsidR="00F94901" w:rsidRDefault="00F9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AB2F" w14:textId="77777777" w:rsidR="00593029" w:rsidRDefault="00593029" w:rsidP="009B674D">
      <w:r>
        <w:separator/>
      </w:r>
    </w:p>
  </w:footnote>
  <w:footnote w:type="continuationSeparator" w:id="0">
    <w:p w14:paraId="5BDCE1E2" w14:textId="77777777" w:rsidR="00593029" w:rsidRDefault="00593029" w:rsidP="009B674D">
      <w:r>
        <w:continuationSeparator/>
      </w:r>
    </w:p>
  </w:footnote>
  <w:footnote w:type="continuationNotice" w:id="1">
    <w:p w14:paraId="7D24C47A" w14:textId="77777777" w:rsidR="00593029" w:rsidRDefault="005930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7278" w14:textId="4D768C9C" w:rsidR="009603EC" w:rsidRDefault="009603EC" w:rsidP="009603EC">
    <w:pPr>
      <w:pStyle w:val="Header"/>
      <w:rPr>
        <w:caps/>
      </w:rPr>
    </w:pPr>
    <w:r w:rsidRPr="00A4460D">
      <w:rPr>
        <w:caps/>
      </w:rPr>
      <w:t xml:space="preserve">BRENTWOOD </w:t>
    </w:r>
    <w:r w:rsidR="00BF0046">
      <w:rPr>
        <w:caps/>
      </w:rPr>
      <w:t>Housing</w:t>
    </w:r>
    <w:r>
      <w:rPr>
        <w:caps/>
      </w:rPr>
      <w:t xml:space="preserve"> </w:t>
    </w:r>
    <w:r w:rsidRPr="00A4460D">
      <w:rPr>
        <w:caps/>
      </w:rPr>
      <w:t>MASTER PLAN CHAPTER</w:t>
    </w:r>
  </w:p>
  <w:p w14:paraId="63A62C1B" w14:textId="55BA1FFD" w:rsidR="009603EC" w:rsidRPr="009603EC" w:rsidRDefault="00A55978" w:rsidP="009603EC">
    <w:pPr>
      <w:pStyle w:val="Header"/>
    </w:pPr>
    <w:r>
      <w:rPr>
        <w:caps/>
      </w:rPr>
      <w:t>February</w:t>
    </w:r>
    <w:r w:rsidR="009603EC">
      <w:rPr>
        <w:caps/>
      </w:rPr>
      <w:t xml:space="preserve"> 202</w:t>
    </w:r>
    <w:r w:rsidR="00BF0046">
      <w:rPr>
        <w:caps/>
      </w:rPr>
      <w:t>5</w:t>
    </w:r>
    <w:r w:rsidR="005307B2">
      <w:rPr>
        <w:caps/>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400"/>
    <w:multiLevelType w:val="multilevel"/>
    <w:tmpl w:val="E71C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92462"/>
    <w:multiLevelType w:val="multilevel"/>
    <w:tmpl w:val="078601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F7016"/>
    <w:multiLevelType w:val="hybridMultilevel"/>
    <w:tmpl w:val="CFDEF8BA"/>
    <w:lvl w:ilvl="0" w:tplc="95A44C42">
      <w:start w:val="1"/>
      <w:numFmt w:val="bullet"/>
      <w:lvlText w:val=""/>
      <w:lvlJc w:val="left"/>
      <w:pPr>
        <w:ind w:left="720" w:hanging="360"/>
      </w:pPr>
      <w:rPr>
        <w:rFonts w:ascii="Symbol" w:hAnsi="Symbol" w:hint="default"/>
      </w:rPr>
    </w:lvl>
    <w:lvl w:ilvl="1" w:tplc="D2A4768C">
      <w:start w:val="1"/>
      <w:numFmt w:val="bullet"/>
      <w:lvlText w:val="o"/>
      <w:lvlJc w:val="left"/>
      <w:pPr>
        <w:ind w:left="1440" w:hanging="360"/>
      </w:pPr>
      <w:rPr>
        <w:rFonts w:ascii="Courier New" w:hAnsi="Courier New" w:hint="default"/>
      </w:rPr>
    </w:lvl>
    <w:lvl w:ilvl="2" w:tplc="4A68D872">
      <w:start w:val="1"/>
      <w:numFmt w:val="bullet"/>
      <w:lvlText w:val=""/>
      <w:lvlJc w:val="left"/>
      <w:pPr>
        <w:ind w:left="2160" w:hanging="360"/>
      </w:pPr>
      <w:rPr>
        <w:rFonts w:ascii="Wingdings" w:hAnsi="Wingdings" w:hint="default"/>
      </w:rPr>
    </w:lvl>
    <w:lvl w:ilvl="3" w:tplc="0B04E42E">
      <w:start w:val="1"/>
      <w:numFmt w:val="bullet"/>
      <w:lvlText w:val=""/>
      <w:lvlJc w:val="left"/>
      <w:pPr>
        <w:ind w:left="2880" w:hanging="360"/>
      </w:pPr>
      <w:rPr>
        <w:rFonts w:ascii="Symbol" w:hAnsi="Symbol" w:hint="default"/>
      </w:rPr>
    </w:lvl>
    <w:lvl w:ilvl="4" w:tplc="3724B738">
      <w:start w:val="1"/>
      <w:numFmt w:val="bullet"/>
      <w:lvlText w:val="o"/>
      <w:lvlJc w:val="left"/>
      <w:pPr>
        <w:ind w:left="3600" w:hanging="360"/>
      </w:pPr>
      <w:rPr>
        <w:rFonts w:ascii="Courier New" w:hAnsi="Courier New" w:hint="default"/>
      </w:rPr>
    </w:lvl>
    <w:lvl w:ilvl="5" w:tplc="73D8957E">
      <w:start w:val="1"/>
      <w:numFmt w:val="bullet"/>
      <w:lvlText w:val=""/>
      <w:lvlJc w:val="left"/>
      <w:pPr>
        <w:ind w:left="4320" w:hanging="360"/>
      </w:pPr>
      <w:rPr>
        <w:rFonts w:ascii="Wingdings" w:hAnsi="Wingdings" w:hint="default"/>
      </w:rPr>
    </w:lvl>
    <w:lvl w:ilvl="6" w:tplc="977E4F52">
      <w:start w:val="1"/>
      <w:numFmt w:val="bullet"/>
      <w:lvlText w:val=""/>
      <w:lvlJc w:val="left"/>
      <w:pPr>
        <w:ind w:left="5040" w:hanging="360"/>
      </w:pPr>
      <w:rPr>
        <w:rFonts w:ascii="Symbol" w:hAnsi="Symbol" w:hint="default"/>
      </w:rPr>
    </w:lvl>
    <w:lvl w:ilvl="7" w:tplc="76507C12">
      <w:start w:val="1"/>
      <w:numFmt w:val="bullet"/>
      <w:lvlText w:val="o"/>
      <w:lvlJc w:val="left"/>
      <w:pPr>
        <w:ind w:left="5760" w:hanging="360"/>
      </w:pPr>
      <w:rPr>
        <w:rFonts w:ascii="Courier New" w:hAnsi="Courier New" w:hint="default"/>
      </w:rPr>
    </w:lvl>
    <w:lvl w:ilvl="8" w:tplc="1A7C8938">
      <w:start w:val="1"/>
      <w:numFmt w:val="bullet"/>
      <w:lvlText w:val=""/>
      <w:lvlJc w:val="left"/>
      <w:pPr>
        <w:ind w:left="6480" w:hanging="360"/>
      </w:pPr>
      <w:rPr>
        <w:rFonts w:ascii="Wingdings" w:hAnsi="Wingdings" w:hint="default"/>
      </w:rPr>
    </w:lvl>
  </w:abstractNum>
  <w:abstractNum w:abstractNumId="3" w15:restartNumberingAfterBreak="0">
    <w:nsid w:val="0EE6ED88"/>
    <w:multiLevelType w:val="hybridMultilevel"/>
    <w:tmpl w:val="F474AF78"/>
    <w:lvl w:ilvl="0" w:tplc="45C06390">
      <w:start w:val="1"/>
      <w:numFmt w:val="bullet"/>
      <w:lvlText w:val="-"/>
      <w:lvlJc w:val="left"/>
      <w:pPr>
        <w:ind w:left="720" w:hanging="360"/>
      </w:pPr>
      <w:rPr>
        <w:rFonts w:ascii="Calibri" w:hAnsi="Calibri" w:hint="default"/>
      </w:rPr>
    </w:lvl>
    <w:lvl w:ilvl="1" w:tplc="09F447E2">
      <w:start w:val="1"/>
      <w:numFmt w:val="bullet"/>
      <w:lvlText w:val="o"/>
      <w:lvlJc w:val="left"/>
      <w:pPr>
        <w:ind w:left="1440" w:hanging="360"/>
      </w:pPr>
      <w:rPr>
        <w:rFonts w:ascii="Courier New" w:hAnsi="Courier New" w:hint="default"/>
      </w:rPr>
    </w:lvl>
    <w:lvl w:ilvl="2" w:tplc="36EC490C">
      <w:start w:val="1"/>
      <w:numFmt w:val="bullet"/>
      <w:lvlText w:val=""/>
      <w:lvlJc w:val="left"/>
      <w:pPr>
        <w:ind w:left="2160" w:hanging="360"/>
      </w:pPr>
      <w:rPr>
        <w:rFonts w:ascii="Wingdings" w:hAnsi="Wingdings" w:hint="default"/>
      </w:rPr>
    </w:lvl>
    <w:lvl w:ilvl="3" w:tplc="DD045C26">
      <w:start w:val="1"/>
      <w:numFmt w:val="bullet"/>
      <w:lvlText w:val=""/>
      <w:lvlJc w:val="left"/>
      <w:pPr>
        <w:ind w:left="2880" w:hanging="360"/>
      </w:pPr>
      <w:rPr>
        <w:rFonts w:ascii="Symbol" w:hAnsi="Symbol" w:hint="default"/>
      </w:rPr>
    </w:lvl>
    <w:lvl w:ilvl="4" w:tplc="9E20DB50">
      <w:start w:val="1"/>
      <w:numFmt w:val="bullet"/>
      <w:lvlText w:val="o"/>
      <w:lvlJc w:val="left"/>
      <w:pPr>
        <w:ind w:left="3600" w:hanging="360"/>
      </w:pPr>
      <w:rPr>
        <w:rFonts w:ascii="Courier New" w:hAnsi="Courier New" w:hint="default"/>
      </w:rPr>
    </w:lvl>
    <w:lvl w:ilvl="5" w:tplc="134465CA">
      <w:start w:val="1"/>
      <w:numFmt w:val="bullet"/>
      <w:lvlText w:val=""/>
      <w:lvlJc w:val="left"/>
      <w:pPr>
        <w:ind w:left="4320" w:hanging="360"/>
      </w:pPr>
      <w:rPr>
        <w:rFonts w:ascii="Wingdings" w:hAnsi="Wingdings" w:hint="default"/>
      </w:rPr>
    </w:lvl>
    <w:lvl w:ilvl="6" w:tplc="8D9E5F68">
      <w:start w:val="1"/>
      <w:numFmt w:val="bullet"/>
      <w:lvlText w:val=""/>
      <w:lvlJc w:val="left"/>
      <w:pPr>
        <w:ind w:left="5040" w:hanging="360"/>
      </w:pPr>
      <w:rPr>
        <w:rFonts w:ascii="Symbol" w:hAnsi="Symbol" w:hint="default"/>
      </w:rPr>
    </w:lvl>
    <w:lvl w:ilvl="7" w:tplc="8346980A">
      <w:start w:val="1"/>
      <w:numFmt w:val="bullet"/>
      <w:lvlText w:val="o"/>
      <w:lvlJc w:val="left"/>
      <w:pPr>
        <w:ind w:left="5760" w:hanging="360"/>
      </w:pPr>
      <w:rPr>
        <w:rFonts w:ascii="Courier New" w:hAnsi="Courier New" w:hint="default"/>
      </w:rPr>
    </w:lvl>
    <w:lvl w:ilvl="8" w:tplc="381E609E">
      <w:start w:val="1"/>
      <w:numFmt w:val="bullet"/>
      <w:lvlText w:val=""/>
      <w:lvlJc w:val="left"/>
      <w:pPr>
        <w:ind w:left="6480" w:hanging="360"/>
      </w:pPr>
      <w:rPr>
        <w:rFonts w:ascii="Wingdings" w:hAnsi="Wingdings" w:hint="default"/>
      </w:rPr>
    </w:lvl>
  </w:abstractNum>
  <w:abstractNum w:abstractNumId="4" w15:restartNumberingAfterBreak="0">
    <w:nsid w:val="0F850AA3"/>
    <w:multiLevelType w:val="multilevel"/>
    <w:tmpl w:val="8AC63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07883"/>
    <w:multiLevelType w:val="hybridMultilevel"/>
    <w:tmpl w:val="8AAAF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7788C"/>
    <w:multiLevelType w:val="multilevel"/>
    <w:tmpl w:val="EACE94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F4036"/>
    <w:multiLevelType w:val="hybridMultilevel"/>
    <w:tmpl w:val="29C4AB10"/>
    <w:lvl w:ilvl="0" w:tplc="81229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3602A2"/>
    <w:multiLevelType w:val="multilevel"/>
    <w:tmpl w:val="741E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563B0"/>
    <w:multiLevelType w:val="hybridMultilevel"/>
    <w:tmpl w:val="42182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D373F"/>
    <w:multiLevelType w:val="multilevel"/>
    <w:tmpl w:val="4B628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758D8"/>
    <w:multiLevelType w:val="hybridMultilevel"/>
    <w:tmpl w:val="1C24E3F2"/>
    <w:lvl w:ilvl="0" w:tplc="390E4782">
      <w:start w:val="1"/>
      <w:numFmt w:val="bullet"/>
      <w:lvlText w:val=""/>
      <w:lvlJc w:val="left"/>
      <w:pPr>
        <w:ind w:left="720" w:hanging="360"/>
      </w:pPr>
      <w:rPr>
        <w:rFonts w:ascii="Symbol" w:hAnsi="Symbol" w:hint="default"/>
      </w:rPr>
    </w:lvl>
    <w:lvl w:ilvl="1" w:tplc="94F85696">
      <w:start w:val="1"/>
      <w:numFmt w:val="bullet"/>
      <w:lvlText w:val="o"/>
      <w:lvlJc w:val="left"/>
      <w:pPr>
        <w:ind w:left="1440" w:hanging="360"/>
      </w:pPr>
      <w:rPr>
        <w:rFonts w:ascii="Courier New" w:hAnsi="Courier New" w:hint="default"/>
      </w:rPr>
    </w:lvl>
    <w:lvl w:ilvl="2" w:tplc="2D1E4A56">
      <w:start w:val="1"/>
      <w:numFmt w:val="bullet"/>
      <w:lvlText w:val=""/>
      <w:lvlJc w:val="left"/>
      <w:pPr>
        <w:ind w:left="2160" w:hanging="360"/>
      </w:pPr>
      <w:rPr>
        <w:rFonts w:ascii="Wingdings" w:hAnsi="Wingdings" w:hint="default"/>
      </w:rPr>
    </w:lvl>
    <w:lvl w:ilvl="3" w:tplc="474A67F6">
      <w:start w:val="1"/>
      <w:numFmt w:val="bullet"/>
      <w:lvlText w:val=""/>
      <w:lvlJc w:val="left"/>
      <w:pPr>
        <w:ind w:left="2880" w:hanging="360"/>
      </w:pPr>
      <w:rPr>
        <w:rFonts w:ascii="Symbol" w:hAnsi="Symbol" w:hint="default"/>
      </w:rPr>
    </w:lvl>
    <w:lvl w:ilvl="4" w:tplc="CE1CB5BA">
      <w:start w:val="1"/>
      <w:numFmt w:val="bullet"/>
      <w:lvlText w:val="o"/>
      <w:lvlJc w:val="left"/>
      <w:pPr>
        <w:ind w:left="3600" w:hanging="360"/>
      </w:pPr>
      <w:rPr>
        <w:rFonts w:ascii="Courier New" w:hAnsi="Courier New" w:hint="default"/>
      </w:rPr>
    </w:lvl>
    <w:lvl w:ilvl="5" w:tplc="4A1467CA">
      <w:start w:val="1"/>
      <w:numFmt w:val="bullet"/>
      <w:lvlText w:val=""/>
      <w:lvlJc w:val="left"/>
      <w:pPr>
        <w:ind w:left="4320" w:hanging="360"/>
      </w:pPr>
      <w:rPr>
        <w:rFonts w:ascii="Wingdings" w:hAnsi="Wingdings" w:hint="default"/>
      </w:rPr>
    </w:lvl>
    <w:lvl w:ilvl="6" w:tplc="0ED43C0A">
      <w:start w:val="1"/>
      <w:numFmt w:val="bullet"/>
      <w:lvlText w:val=""/>
      <w:lvlJc w:val="left"/>
      <w:pPr>
        <w:ind w:left="5040" w:hanging="360"/>
      </w:pPr>
      <w:rPr>
        <w:rFonts w:ascii="Symbol" w:hAnsi="Symbol" w:hint="default"/>
      </w:rPr>
    </w:lvl>
    <w:lvl w:ilvl="7" w:tplc="A6BE5644">
      <w:start w:val="1"/>
      <w:numFmt w:val="bullet"/>
      <w:lvlText w:val="o"/>
      <w:lvlJc w:val="left"/>
      <w:pPr>
        <w:ind w:left="5760" w:hanging="360"/>
      </w:pPr>
      <w:rPr>
        <w:rFonts w:ascii="Courier New" w:hAnsi="Courier New" w:hint="default"/>
      </w:rPr>
    </w:lvl>
    <w:lvl w:ilvl="8" w:tplc="004E1BFA">
      <w:start w:val="1"/>
      <w:numFmt w:val="bullet"/>
      <w:lvlText w:val=""/>
      <w:lvlJc w:val="left"/>
      <w:pPr>
        <w:ind w:left="6480" w:hanging="360"/>
      </w:pPr>
      <w:rPr>
        <w:rFonts w:ascii="Wingdings" w:hAnsi="Wingdings" w:hint="default"/>
      </w:rPr>
    </w:lvl>
  </w:abstractNum>
  <w:abstractNum w:abstractNumId="12" w15:restartNumberingAfterBreak="0">
    <w:nsid w:val="40926D78"/>
    <w:multiLevelType w:val="hybridMultilevel"/>
    <w:tmpl w:val="FFF87F16"/>
    <w:lvl w:ilvl="0" w:tplc="3D182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861A5"/>
    <w:multiLevelType w:val="multilevel"/>
    <w:tmpl w:val="77DA86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492EB8"/>
    <w:multiLevelType w:val="multilevel"/>
    <w:tmpl w:val="2B7A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2B6E25"/>
    <w:multiLevelType w:val="multilevel"/>
    <w:tmpl w:val="AB42B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EFF9DA"/>
    <w:multiLevelType w:val="hybridMultilevel"/>
    <w:tmpl w:val="F6B888CA"/>
    <w:lvl w:ilvl="0" w:tplc="30C68C44">
      <w:start w:val="1"/>
      <w:numFmt w:val="bullet"/>
      <w:lvlText w:val=""/>
      <w:lvlJc w:val="left"/>
      <w:pPr>
        <w:ind w:left="720" w:hanging="360"/>
      </w:pPr>
      <w:rPr>
        <w:rFonts w:ascii="Symbol" w:hAnsi="Symbol" w:hint="default"/>
      </w:rPr>
    </w:lvl>
    <w:lvl w:ilvl="1" w:tplc="7EBA2DD0">
      <w:start w:val="1"/>
      <w:numFmt w:val="bullet"/>
      <w:lvlText w:val="o"/>
      <w:lvlJc w:val="left"/>
      <w:pPr>
        <w:ind w:left="1440" w:hanging="360"/>
      </w:pPr>
      <w:rPr>
        <w:rFonts w:ascii="Courier New" w:hAnsi="Courier New" w:hint="default"/>
      </w:rPr>
    </w:lvl>
    <w:lvl w:ilvl="2" w:tplc="FE3E1B3A">
      <w:start w:val="1"/>
      <w:numFmt w:val="bullet"/>
      <w:lvlText w:val=""/>
      <w:lvlJc w:val="left"/>
      <w:pPr>
        <w:ind w:left="2160" w:hanging="360"/>
      </w:pPr>
      <w:rPr>
        <w:rFonts w:ascii="Wingdings" w:hAnsi="Wingdings" w:hint="default"/>
      </w:rPr>
    </w:lvl>
    <w:lvl w:ilvl="3" w:tplc="0A92F56E">
      <w:start w:val="1"/>
      <w:numFmt w:val="bullet"/>
      <w:lvlText w:val=""/>
      <w:lvlJc w:val="left"/>
      <w:pPr>
        <w:ind w:left="2880" w:hanging="360"/>
      </w:pPr>
      <w:rPr>
        <w:rFonts w:ascii="Symbol" w:hAnsi="Symbol" w:hint="default"/>
      </w:rPr>
    </w:lvl>
    <w:lvl w:ilvl="4" w:tplc="19089F9E">
      <w:start w:val="1"/>
      <w:numFmt w:val="bullet"/>
      <w:lvlText w:val="o"/>
      <w:lvlJc w:val="left"/>
      <w:pPr>
        <w:ind w:left="3600" w:hanging="360"/>
      </w:pPr>
      <w:rPr>
        <w:rFonts w:ascii="Courier New" w:hAnsi="Courier New" w:hint="default"/>
      </w:rPr>
    </w:lvl>
    <w:lvl w:ilvl="5" w:tplc="ECC83B4E">
      <w:start w:val="1"/>
      <w:numFmt w:val="bullet"/>
      <w:lvlText w:val=""/>
      <w:lvlJc w:val="left"/>
      <w:pPr>
        <w:ind w:left="4320" w:hanging="360"/>
      </w:pPr>
      <w:rPr>
        <w:rFonts w:ascii="Wingdings" w:hAnsi="Wingdings" w:hint="default"/>
      </w:rPr>
    </w:lvl>
    <w:lvl w:ilvl="6" w:tplc="8528AE22">
      <w:start w:val="1"/>
      <w:numFmt w:val="bullet"/>
      <w:lvlText w:val=""/>
      <w:lvlJc w:val="left"/>
      <w:pPr>
        <w:ind w:left="5040" w:hanging="360"/>
      </w:pPr>
      <w:rPr>
        <w:rFonts w:ascii="Symbol" w:hAnsi="Symbol" w:hint="default"/>
      </w:rPr>
    </w:lvl>
    <w:lvl w:ilvl="7" w:tplc="C388F574">
      <w:start w:val="1"/>
      <w:numFmt w:val="bullet"/>
      <w:lvlText w:val="o"/>
      <w:lvlJc w:val="left"/>
      <w:pPr>
        <w:ind w:left="5760" w:hanging="360"/>
      </w:pPr>
      <w:rPr>
        <w:rFonts w:ascii="Courier New" w:hAnsi="Courier New" w:hint="default"/>
      </w:rPr>
    </w:lvl>
    <w:lvl w:ilvl="8" w:tplc="F0C430D8">
      <w:start w:val="1"/>
      <w:numFmt w:val="bullet"/>
      <w:lvlText w:val=""/>
      <w:lvlJc w:val="left"/>
      <w:pPr>
        <w:ind w:left="6480" w:hanging="360"/>
      </w:pPr>
      <w:rPr>
        <w:rFonts w:ascii="Wingdings" w:hAnsi="Wingdings" w:hint="default"/>
      </w:rPr>
    </w:lvl>
  </w:abstractNum>
  <w:abstractNum w:abstractNumId="17" w15:restartNumberingAfterBreak="0">
    <w:nsid w:val="50AF1348"/>
    <w:multiLevelType w:val="hybridMultilevel"/>
    <w:tmpl w:val="EF6A7B62"/>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6EDF10A"/>
    <w:multiLevelType w:val="hybridMultilevel"/>
    <w:tmpl w:val="93D278DC"/>
    <w:lvl w:ilvl="0" w:tplc="12E41228">
      <w:start w:val="1"/>
      <w:numFmt w:val="bullet"/>
      <w:lvlText w:val=""/>
      <w:lvlJc w:val="left"/>
      <w:pPr>
        <w:ind w:left="720" w:hanging="360"/>
      </w:pPr>
      <w:rPr>
        <w:rFonts w:ascii="Symbol" w:hAnsi="Symbol" w:hint="default"/>
      </w:rPr>
    </w:lvl>
    <w:lvl w:ilvl="1" w:tplc="D4AECB74">
      <w:start w:val="1"/>
      <w:numFmt w:val="bullet"/>
      <w:lvlText w:val="o"/>
      <w:lvlJc w:val="left"/>
      <w:pPr>
        <w:ind w:left="1440" w:hanging="360"/>
      </w:pPr>
      <w:rPr>
        <w:rFonts w:ascii="Courier New" w:hAnsi="Courier New" w:hint="default"/>
      </w:rPr>
    </w:lvl>
    <w:lvl w:ilvl="2" w:tplc="C1FC5358">
      <w:start w:val="1"/>
      <w:numFmt w:val="bullet"/>
      <w:lvlText w:val=""/>
      <w:lvlJc w:val="left"/>
      <w:pPr>
        <w:ind w:left="2160" w:hanging="360"/>
      </w:pPr>
      <w:rPr>
        <w:rFonts w:ascii="Wingdings" w:hAnsi="Wingdings" w:hint="default"/>
      </w:rPr>
    </w:lvl>
    <w:lvl w:ilvl="3" w:tplc="E1540CC8">
      <w:start w:val="1"/>
      <w:numFmt w:val="bullet"/>
      <w:lvlText w:val=""/>
      <w:lvlJc w:val="left"/>
      <w:pPr>
        <w:ind w:left="2880" w:hanging="360"/>
      </w:pPr>
      <w:rPr>
        <w:rFonts w:ascii="Symbol" w:hAnsi="Symbol" w:hint="default"/>
      </w:rPr>
    </w:lvl>
    <w:lvl w:ilvl="4" w:tplc="BEBE382E">
      <w:start w:val="1"/>
      <w:numFmt w:val="bullet"/>
      <w:lvlText w:val="o"/>
      <w:lvlJc w:val="left"/>
      <w:pPr>
        <w:ind w:left="3600" w:hanging="360"/>
      </w:pPr>
      <w:rPr>
        <w:rFonts w:ascii="Courier New" w:hAnsi="Courier New" w:hint="default"/>
      </w:rPr>
    </w:lvl>
    <w:lvl w:ilvl="5" w:tplc="90DE3D14">
      <w:start w:val="1"/>
      <w:numFmt w:val="bullet"/>
      <w:lvlText w:val=""/>
      <w:lvlJc w:val="left"/>
      <w:pPr>
        <w:ind w:left="4320" w:hanging="360"/>
      </w:pPr>
      <w:rPr>
        <w:rFonts w:ascii="Wingdings" w:hAnsi="Wingdings" w:hint="default"/>
      </w:rPr>
    </w:lvl>
    <w:lvl w:ilvl="6" w:tplc="7C0E8990">
      <w:start w:val="1"/>
      <w:numFmt w:val="bullet"/>
      <w:lvlText w:val=""/>
      <w:lvlJc w:val="left"/>
      <w:pPr>
        <w:ind w:left="5040" w:hanging="360"/>
      </w:pPr>
      <w:rPr>
        <w:rFonts w:ascii="Symbol" w:hAnsi="Symbol" w:hint="default"/>
      </w:rPr>
    </w:lvl>
    <w:lvl w:ilvl="7" w:tplc="CBD089D4">
      <w:start w:val="1"/>
      <w:numFmt w:val="bullet"/>
      <w:lvlText w:val="o"/>
      <w:lvlJc w:val="left"/>
      <w:pPr>
        <w:ind w:left="5760" w:hanging="360"/>
      </w:pPr>
      <w:rPr>
        <w:rFonts w:ascii="Courier New" w:hAnsi="Courier New" w:hint="default"/>
      </w:rPr>
    </w:lvl>
    <w:lvl w:ilvl="8" w:tplc="25F0F0B4">
      <w:start w:val="1"/>
      <w:numFmt w:val="bullet"/>
      <w:lvlText w:val=""/>
      <w:lvlJc w:val="left"/>
      <w:pPr>
        <w:ind w:left="6480" w:hanging="360"/>
      </w:pPr>
      <w:rPr>
        <w:rFonts w:ascii="Wingdings" w:hAnsi="Wingdings" w:hint="default"/>
      </w:rPr>
    </w:lvl>
  </w:abstractNum>
  <w:abstractNum w:abstractNumId="19" w15:restartNumberingAfterBreak="0">
    <w:nsid w:val="57872743"/>
    <w:multiLevelType w:val="multilevel"/>
    <w:tmpl w:val="ECC84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0AD403"/>
    <w:multiLevelType w:val="hybridMultilevel"/>
    <w:tmpl w:val="C922ADBA"/>
    <w:lvl w:ilvl="0" w:tplc="23CA826C">
      <w:start w:val="1"/>
      <w:numFmt w:val="bullet"/>
      <w:lvlText w:val=""/>
      <w:lvlJc w:val="left"/>
      <w:pPr>
        <w:ind w:left="720" w:hanging="360"/>
      </w:pPr>
      <w:rPr>
        <w:rFonts w:ascii="Symbol" w:hAnsi="Symbol" w:hint="default"/>
      </w:rPr>
    </w:lvl>
    <w:lvl w:ilvl="1" w:tplc="E42E362A">
      <w:start w:val="1"/>
      <w:numFmt w:val="bullet"/>
      <w:lvlText w:val="o"/>
      <w:lvlJc w:val="left"/>
      <w:pPr>
        <w:ind w:left="1440" w:hanging="360"/>
      </w:pPr>
      <w:rPr>
        <w:rFonts w:ascii="Courier New" w:hAnsi="Courier New" w:hint="default"/>
      </w:rPr>
    </w:lvl>
    <w:lvl w:ilvl="2" w:tplc="3EF803E0">
      <w:start w:val="1"/>
      <w:numFmt w:val="bullet"/>
      <w:lvlText w:val=""/>
      <w:lvlJc w:val="left"/>
      <w:pPr>
        <w:ind w:left="2160" w:hanging="360"/>
      </w:pPr>
      <w:rPr>
        <w:rFonts w:ascii="Wingdings" w:hAnsi="Wingdings" w:hint="default"/>
      </w:rPr>
    </w:lvl>
    <w:lvl w:ilvl="3" w:tplc="E3B2D1C2">
      <w:start w:val="1"/>
      <w:numFmt w:val="bullet"/>
      <w:lvlText w:val=""/>
      <w:lvlJc w:val="left"/>
      <w:pPr>
        <w:ind w:left="2880" w:hanging="360"/>
      </w:pPr>
      <w:rPr>
        <w:rFonts w:ascii="Symbol" w:hAnsi="Symbol" w:hint="default"/>
      </w:rPr>
    </w:lvl>
    <w:lvl w:ilvl="4" w:tplc="91888D2E">
      <w:start w:val="1"/>
      <w:numFmt w:val="bullet"/>
      <w:lvlText w:val="o"/>
      <w:lvlJc w:val="left"/>
      <w:pPr>
        <w:ind w:left="3600" w:hanging="360"/>
      </w:pPr>
      <w:rPr>
        <w:rFonts w:ascii="Courier New" w:hAnsi="Courier New" w:hint="default"/>
      </w:rPr>
    </w:lvl>
    <w:lvl w:ilvl="5" w:tplc="C7E4F25C">
      <w:start w:val="1"/>
      <w:numFmt w:val="bullet"/>
      <w:lvlText w:val=""/>
      <w:lvlJc w:val="left"/>
      <w:pPr>
        <w:ind w:left="4320" w:hanging="360"/>
      </w:pPr>
      <w:rPr>
        <w:rFonts w:ascii="Wingdings" w:hAnsi="Wingdings" w:hint="default"/>
      </w:rPr>
    </w:lvl>
    <w:lvl w:ilvl="6" w:tplc="57FE39FA">
      <w:start w:val="1"/>
      <w:numFmt w:val="bullet"/>
      <w:lvlText w:val=""/>
      <w:lvlJc w:val="left"/>
      <w:pPr>
        <w:ind w:left="5040" w:hanging="360"/>
      </w:pPr>
      <w:rPr>
        <w:rFonts w:ascii="Symbol" w:hAnsi="Symbol" w:hint="default"/>
      </w:rPr>
    </w:lvl>
    <w:lvl w:ilvl="7" w:tplc="B22E01C4">
      <w:start w:val="1"/>
      <w:numFmt w:val="bullet"/>
      <w:lvlText w:val="o"/>
      <w:lvlJc w:val="left"/>
      <w:pPr>
        <w:ind w:left="5760" w:hanging="360"/>
      </w:pPr>
      <w:rPr>
        <w:rFonts w:ascii="Courier New" w:hAnsi="Courier New" w:hint="default"/>
      </w:rPr>
    </w:lvl>
    <w:lvl w:ilvl="8" w:tplc="02F0FC3E">
      <w:start w:val="1"/>
      <w:numFmt w:val="bullet"/>
      <w:lvlText w:val=""/>
      <w:lvlJc w:val="left"/>
      <w:pPr>
        <w:ind w:left="6480" w:hanging="360"/>
      </w:pPr>
      <w:rPr>
        <w:rFonts w:ascii="Wingdings" w:hAnsi="Wingdings" w:hint="default"/>
      </w:rPr>
    </w:lvl>
  </w:abstractNum>
  <w:abstractNum w:abstractNumId="21" w15:restartNumberingAfterBreak="0">
    <w:nsid w:val="62227E88"/>
    <w:multiLevelType w:val="hybridMultilevel"/>
    <w:tmpl w:val="B6AC9B5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3C6C86"/>
    <w:multiLevelType w:val="multilevel"/>
    <w:tmpl w:val="4F7A72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AB2A68"/>
    <w:multiLevelType w:val="multilevel"/>
    <w:tmpl w:val="04DA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4E2625"/>
    <w:multiLevelType w:val="multilevel"/>
    <w:tmpl w:val="47AC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1D6FE1"/>
    <w:multiLevelType w:val="multilevel"/>
    <w:tmpl w:val="936C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A52D7"/>
    <w:multiLevelType w:val="multilevel"/>
    <w:tmpl w:val="89A8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165EF6"/>
    <w:multiLevelType w:val="multilevel"/>
    <w:tmpl w:val="B2FE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3306AC"/>
    <w:multiLevelType w:val="hybridMultilevel"/>
    <w:tmpl w:val="B02E75EC"/>
    <w:lvl w:ilvl="0" w:tplc="82BE4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77120"/>
    <w:multiLevelType w:val="multilevel"/>
    <w:tmpl w:val="5CB04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5EF628"/>
    <w:multiLevelType w:val="hybridMultilevel"/>
    <w:tmpl w:val="C5BAEAE0"/>
    <w:lvl w:ilvl="0" w:tplc="1E108D1A">
      <w:start w:val="1"/>
      <w:numFmt w:val="bullet"/>
      <w:lvlText w:val=""/>
      <w:lvlJc w:val="left"/>
      <w:pPr>
        <w:ind w:left="720" w:hanging="360"/>
      </w:pPr>
      <w:rPr>
        <w:rFonts w:ascii="Symbol" w:hAnsi="Symbol" w:hint="default"/>
      </w:rPr>
    </w:lvl>
    <w:lvl w:ilvl="1" w:tplc="C864446A">
      <w:start w:val="1"/>
      <w:numFmt w:val="bullet"/>
      <w:lvlText w:val="o"/>
      <w:lvlJc w:val="left"/>
      <w:pPr>
        <w:ind w:left="1440" w:hanging="360"/>
      </w:pPr>
      <w:rPr>
        <w:rFonts w:ascii="Courier New" w:hAnsi="Courier New" w:hint="default"/>
      </w:rPr>
    </w:lvl>
    <w:lvl w:ilvl="2" w:tplc="099CE65E">
      <w:start w:val="1"/>
      <w:numFmt w:val="bullet"/>
      <w:lvlText w:val=""/>
      <w:lvlJc w:val="left"/>
      <w:pPr>
        <w:ind w:left="2160" w:hanging="360"/>
      </w:pPr>
      <w:rPr>
        <w:rFonts w:ascii="Wingdings" w:hAnsi="Wingdings" w:hint="default"/>
      </w:rPr>
    </w:lvl>
    <w:lvl w:ilvl="3" w:tplc="34A04492">
      <w:start w:val="1"/>
      <w:numFmt w:val="bullet"/>
      <w:lvlText w:val=""/>
      <w:lvlJc w:val="left"/>
      <w:pPr>
        <w:ind w:left="2880" w:hanging="360"/>
      </w:pPr>
      <w:rPr>
        <w:rFonts w:ascii="Symbol" w:hAnsi="Symbol" w:hint="default"/>
      </w:rPr>
    </w:lvl>
    <w:lvl w:ilvl="4" w:tplc="E4FE92FC">
      <w:start w:val="1"/>
      <w:numFmt w:val="bullet"/>
      <w:lvlText w:val="o"/>
      <w:lvlJc w:val="left"/>
      <w:pPr>
        <w:ind w:left="3600" w:hanging="360"/>
      </w:pPr>
      <w:rPr>
        <w:rFonts w:ascii="Courier New" w:hAnsi="Courier New" w:hint="default"/>
      </w:rPr>
    </w:lvl>
    <w:lvl w:ilvl="5" w:tplc="602C16E2">
      <w:start w:val="1"/>
      <w:numFmt w:val="bullet"/>
      <w:lvlText w:val=""/>
      <w:lvlJc w:val="left"/>
      <w:pPr>
        <w:ind w:left="4320" w:hanging="360"/>
      </w:pPr>
      <w:rPr>
        <w:rFonts w:ascii="Wingdings" w:hAnsi="Wingdings" w:hint="default"/>
      </w:rPr>
    </w:lvl>
    <w:lvl w:ilvl="6" w:tplc="3BD8541C">
      <w:start w:val="1"/>
      <w:numFmt w:val="bullet"/>
      <w:lvlText w:val=""/>
      <w:lvlJc w:val="left"/>
      <w:pPr>
        <w:ind w:left="5040" w:hanging="360"/>
      </w:pPr>
      <w:rPr>
        <w:rFonts w:ascii="Symbol" w:hAnsi="Symbol" w:hint="default"/>
      </w:rPr>
    </w:lvl>
    <w:lvl w:ilvl="7" w:tplc="4BDCAA88">
      <w:start w:val="1"/>
      <w:numFmt w:val="bullet"/>
      <w:lvlText w:val="o"/>
      <w:lvlJc w:val="left"/>
      <w:pPr>
        <w:ind w:left="5760" w:hanging="360"/>
      </w:pPr>
      <w:rPr>
        <w:rFonts w:ascii="Courier New" w:hAnsi="Courier New" w:hint="default"/>
      </w:rPr>
    </w:lvl>
    <w:lvl w:ilvl="8" w:tplc="C6EE55FA">
      <w:start w:val="1"/>
      <w:numFmt w:val="bullet"/>
      <w:lvlText w:val=""/>
      <w:lvlJc w:val="left"/>
      <w:pPr>
        <w:ind w:left="6480" w:hanging="360"/>
      </w:pPr>
      <w:rPr>
        <w:rFonts w:ascii="Wingdings" w:hAnsi="Wingdings" w:hint="default"/>
      </w:rPr>
    </w:lvl>
  </w:abstractNum>
  <w:num w:numId="1" w16cid:durableId="1301612000">
    <w:abstractNumId w:val="3"/>
  </w:num>
  <w:num w:numId="2" w16cid:durableId="1110393959">
    <w:abstractNumId w:val="11"/>
  </w:num>
  <w:num w:numId="3" w16cid:durableId="1734352960">
    <w:abstractNumId w:val="2"/>
  </w:num>
  <w:num w:numId="4" w16cid:durableId="1969580873">
    <w:abstractNumId w:val="18"/>
  </w:num>
  <w:num w:numId="5" w16cid:durableId="2020884005">
    <w:abstractNumId w:val="20"/>
  </w:num>
  <w:num w:numId="6" w16cid:durableId="1325622683">
    <w:abstractNumId w:val="16"/>
  </w:num>
  <w:num w:numId="7" w16cid:durableId="2033797195">
    <w:abstractNumId w:val="30"/>
  </w:num>
  <w:num w:numId="8" w16cid:durableId="1137800134">
    <w:abstractNumId w:val="26"/>
  </w:num>
  <w:num w:numId="9" w16cid:durableId="898133888">
    <w:abstractNumId w:val="10"/>
  </w:num>
  <w:num w:numId="10" w16cid:durableId="1144271120">
    <w:abstractNumId w:val="13"/>
  </w:num>
  <w:num w:numId="11" w16cid:durableId="2026861142">
    <w:abstractNumId w:val="1"/>
  </w:num>
  <w:num w:numId="12" w16cid:durableId="266356482">
    <w:abstractNumId w:val="27"/>
  </w:num>
  <w:num w:numId="13" w16cid:durableId="1219822594">
    <w:abstractNumId w:val="15"/>
  </w:num>
  <w:num w:numId="14" w16cid:durableId="2026402452">
    <w:abstractNumId w:val="4"/>
  </w:num>
  <w:num w:numId="15" w16cid:durableId="1517963517">
    <w:abstractNumId w:val="6"/>
  </w:num>
  <w:num w:numId="16" w16cid:durableId="1404521951">
    <w:abstractNumId w:val="23"/>
  </w:num>
  <w:num w:numId="17" w16cid:durableId="935527589">
    <w:abstractNumId w:val="29"/>
  </w:num>
  <w:num w:numId="18" w16cid:durableId="1866403262">
    <w:abstractNumId w:val="22"/>
  </w:num>
  <w:num w:numId="19" w16cid:durableId="1428187453">
    <w:abstractNumId w:val="19"/>
  </w:num>
  <w:num w:numId="20" w16cid:durableId="41828363">
    <w:abstractNumId w:val="25"/>
  </w:num>
  <w:num w:numId="21" w16cid:durableId="363336387">
    <w:abstractNumId w:val="8"/>
  </w:num>
  <w:num w:numId="22" w16cid:durableId="2122920362">
    <w:abstractNumId w:val="0"/>
  </w:num>
  <w:num w:numId="23" w16cid:durableId="1925797981">
    <w:abstractNumId w:val="14"/>
  </w:num>
  <w:num w:numId="24" w16cid:durableId="214784224">
    <w:abstractNumId w:val="24"/>
  </w:num>
  <w:num w:numId="25" w16cid:durableId="172955606">
    <w:abstractNumId w:val="9"/>
  </w:num>
  <w:num w:numId="26" w16cid:durableId="692878065">
    <w:abstractNumId w:val="7"/>
  </w:num>
  <w:num w:numId="27" w16cid:durableId="622536254">
    <w:abstractNumId w:val="28"/>
  </w:num>
  <w:num w:numId="28" w16cid:durableId="409352290">
    <w:abstractNumId w:val="5"/>
  </w:num>
  <w:num w:numId="29" w16cid:durableId="1799757781">
    <w:abstractNumId w:val="17"/>
  </w:num>
  <w:num w:numId="30" w16cid:durableId="2146463858">
    <w:abstractNumId w:val="12"/>
  </w:num>
  <w:num w:numId="31" w16cid:durableId="1815680793">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48"/>
    <w:rsid w:val="00002BFA"/>
    <w:rsid w:val="00005995"/>
    <w:rsid w:val="000078D0"/>
    <w:rsid w:val="0001027C"/>
    <w:rsid w:val="0001151C"/>
    <w:rsid w:val="00011A9E"/>
    <w:rsid w:val="000128FF"/>
    <w:rsid w:val="00012AAB"/>
    <w:rsid w:val="000143B4"/>
    <w:rsid w:val="0001708C"/>
    <w:rsid w:val="000225A5"/>
    <w:rsid w:val="00023313"/>
    <w:rsid w:val="00023C2F"/>
    <w:rsid w:val="00024DCC"/>
    <w:rsid w:val="0002773B"/>
    <w:rsid w:val="00031542"/>
    <w:rsid w:val="00035301"/>
    <w:rsid w:val="00035619"/>
    <w:rsid w:val="00035B9A"/>
    <w:rsid w:val="000370F0"/>
    <w:rsid w:val="00042B2B"/>
    <w:rsid w:val="0004733B"/>
    <w:rsid w:val="0005009F"/>
    <w:rsid w:val="00052E00"/>
    <w:rsid w:val="00052E3D"/>
    <w:rsid w:val="0005338D"/>
    <w:rsid w:val="0005699D"/>
    <w:rsid w:val="00060BE6"/>
    <w:rsid w:val="00062BBB"/>
    <w:rsid w:val="00063EEE"/>
    <w:rsid w:val="000727DE"/>
    <w:rsid w:val="0007562C"/>
    <w:rsid w:val="00076072"/>
    <w:rsid w:val="00076446"/>
    <w:rsid w:val="00083935"/>
    <w:rsid w:val="00084C4A"/>
    <w:rsid w:val="000875BB"/>
    <w:rsid w:val="000878E5"/>
    <w:rsid w:val="000939FC"/>
    <w:rsid w:val="000961B2"/>
    <w:rsid w:val="00096222"/>
    <w:rsid w:val="00097BB5"/>
    <w:rsid w:val="000A2D95"/>
    <w:rsid w:val="000A373D"/>
    <w:rsid w:val="000A46AA"/>
    <w:rsid w:val="000A5551"/>
    <w:rsid w:val="000A6910"/>
    <w:rsid w:val="000A7CC5"/>
    <w:rsid w:val="000B01C6"/>
    <w:rsid w:val="000B28B1"/>
    <w:rsid w:val="000B2C92"/>
    <w:rsid w:val="000B30AB"/>
    <w:rsid w:val="000B35EF"/>
    <w:rsid w:val="000B665A"/>
    <w:rsid w:val="000B79A3"/>
    <w:rsid w:val="000C1825"/>
    <w:rsid w:val="000C207C"/>
    <w:rsid w:val="000C279E"/>
    <w:rsid w:val="000C50DC"/>
    <w:rsid w:val="000C5C8A"/>
    <w:rsid w:val="000C5D7B"/>
    <w:rsid w:val="000C7389"/>
    <w:rsid w:val="000D0C1F"/>
    <w:rsid w:val="000D669B"/>
    <w:rsid w:val="000D6C1B"/>
    <w:rsid w:val="000E131C"/>
    <w:rsid w:val="000E1985"/>
    <w:rsid w:val="000E2B10"/>
    <w:rsid w:val="000E43AD"/>
    <w:rsid w:val="000E5000"/>
    <w:rsid w:val="000E5BE1"/>
    <w:rsid w:val="000E76EC"/>
    <w:rsid w:val="000E7F33"/>
    <w:rsid w:val="000F50F9"/>
    <w:rsid w:val="000F56FA"/>
    <w:rsid w:val="000F6649"/>
    <w:rsid w:val="000F7F43"/>
    <w:rsid w:val="00100954"/>
    <w:rsid w:val="001026C9"/>
    <w:rsid w:val="00102EF5"/>
    <w:rsid w:val="0010443A"/>
    <w:rsid w:val="00105684"/>
    <w:rsid w:val="001066EA"/>
    <w:rsid w:val="001106E6"/>
    <w:rsid w:val="00110C7A"/>
    <w:rsid w:val="001127EF"/>
    <w:rsid w:val="00112901"/>
    <w:rsid w:val="00112A00"/>
    <w:rsid w:val="001159B2"/>
    <w:rsid w:val="00115C9B"/>
    <w:rsid w:val="00116EEE"/>
    <w:rsid w:val="00117549"/>
    <w:rsid w:val="001175BC"/>
    <w:rsid w:val="0012396B"/>
    <w:rsid w:val="00123DDA"/>
    <w:rsid w:val="00124D46"/>
    <w:rsid w:val="00125116"/>
    <w:rsid w:val="00125E2C"/>
    <w:rsid w:val="001303BD"/>
    <w:rsid w:val="00133236"/>
    <w:rsid w:val="00133C8B"/>
    <w:rsid w:val="00134CEE"/>
    <w:rsid w:val="00134E7D"/>
    <w:rsid w:val="001354B8"/>
    <w:rsid w:val="0013738D"/>
    <w:rsid w:val="0014148B"/>
    <w:rsid w:val="0014155D"/>
    <w:rsid w:val="001415B0"/>
    <w:rsid w:val="00141D4D"/>
    <w:rsid w:val="00141EB5"/>
    <w:rsid w:val="001436B3"/>
    <w:rsid w:val="001438E7"/>
    <w:rsid w:val="00143D9B"/>
    <w:rsid w:val="0014464F"/>
    <w:rsid w:val="001447BC"/>
    <w:rsid w:val="00144D8B"/>
    <w:rsid w:val="00151722"/>
    <w:rsid w:val="00151CAB"/>
    <w:rsid w:val="00155301"/>
    <w:rsid w:val="00156EE3"/>
    <w:rsid w:val="001578D5"/>
    <w:rsid w:val="00157CEB"/>
    <w:rsid w:val="00157D84"/>
    <w:rsid w:val="00157FBB"/>
    <w:rsid w:val="00162361"/>
    <w:rsid w:val="00163165"/>
    <w:rsid w:val="001647EF"/>
    <w:rsid w:val="00165C49"/>
    <w:rsid w:val="001707BF"/>
    <w:rsid w:val="00170A23"/>
    <w:rsid w:val="00171B84"/>
    <w:rsid w:val="00175F93"/>
    <w:rsid w:val="00181DDF"/>
    <w:rsid w:val="00182BAC"/>
    <w:rsid w:val="001838CE"/>
    <w:rsid w:val="00183FC5"/>
    <w:rsid w:val="00184250"/>
    <w:rsid w:val="0018606D"/>
    <w:rsid w:val="00187736"/>
    <w:rsid w:val="00190232"/>
    <w:rsid w:val="00194A9C"/>
    <w:rsid w:val="00196F86"/>
    <w:rsid w:val="001A17A0"/>
    <w:rsid w:val="001A1E78"/>
    <w:rsid w:val="001A2033"/>
    <w:rsid w:val="001A2298"/>
    <w:rsid w:val="001A4944"/>
    <w:rsid w:val="001A6A77"/>
    <w:rsid w:val="001A75BD"/>
    <w:rsid w:val="001A79C1"/>
    <w:rsid w:val="001B0C7D"/>
    <w:rsid w:val="001B2710"/>
    <w:rsid w:val="001B28D2"/>
    <w:rsid w:val="001B3E3B"/>
    <w:rsid w:val="001B49A8"/>
    <w:rsid w:val="001B76B4"/>
    <w:rsid w:val="001B7AB4"/>
    <w:rsid w:val="001C3484"/>
    <w:rsid w:val="001C4708"/>
    <w:rsid w:val="001C5619"/>
    <w:rsid w:val="001C5D04"/>
    <w:rsid w:val="001C71A3"/>
    <w:rsid w:val="001C74F2"/>
    <w:rsid w:val="001D0182"/>
    <w:rsid w:val="001D0D7D"/>
    <w:rsid w:val="001D17C7"/>
    <w:rsid w:val="001D196A"/>
    <w:rsid w:val="001D41A0"/>
    <w:rsid w:val="001D6B98"/>
    <w:rsid w:val="001E0C8B"/>
    <w:rsid w:val="001E1285"/>
    <w:rsid w:val="001E32CC"/>
    <w:rsid w:val="001E3487"/>
    <w:rsid w:val="001E3972"/>
    <w:rsid w:val="001E4662"/>
    <w:rsid w:val="001E63C1"/>
    <w:rsid w:val="001E6F4E"/>
    <w:rsid w:val="001E74B4"/>
    <w:rsid w:val="001E7F97"/>
    <w:rsid w:val="001F18B3"/>
    <w:rsid w:val="001F1C51"/>
    <w:rsid w:val="001F6CD5"/>
    <w:rsid w:val="00201A0E"/>
    <w:rsid w:val="002035FD"/>
    <w:rsid w:val="002039B1"/>
    <w:rsid w:val="00203A43"/>
    <w:rsid w:val="00204CC5"/>
    <w:rsid w:val="0020544B"/>
    <w:rsid w:val="002055D0"/>
    <w:rsid w:val="0020741F"/>
    <w:rsid w:val="00210508"/>
    <w:rsid w:val="00210ADA"/>
    <w:rsid w:val="00211632"/>
    <w:rsid w:val="00211EEA"/>
    <w:rsid w:val="0021314F"/>
    <w:rsid w:val="00213F5B"/>
    <w:rsid w:val="00215175"/>
    <w:rsid w:val="00216A8F"/>
    <w:rsid w:val="00223175"/>
    <w:rsid w:val="002233AA"/>
    <w:rsid w:val="00224F05"/>
    <w:rsid w:val="00225D06"/>
    <w:rsid w:val="002303AA"/>
    <w:rsid w:val="0023048A"/>
    <w:rsid w:val="00232B8C"/>
    <w:rsid w:val="0023322D"/>
    <w:rsid w:val="00233AE2"/>
    <w:rsid w:val="00234498"/>
    <w:rsid w:val="0023589D"/>
    <w:rsid w:val="00235EF7"/>
    <w:rsid w:val="00240249"/>
    <w:rsid w:val="0024029C"/>
    <w:rsid w:val="0024055D"/>
    <w:rsid w:val="002409E6"/>
    <w:rsid w:val="00241C2E"/>
    <w:rsid w:val="00242748"/>
    <w:rsid w:val="00246D05"/>
    <w:rsid w:val="00247A62"/>
    <w:rsid w:val="00250465"/>
    <w:rsid w:val="00252E27"/>
    <w:rsid w:val="00254271"/>
    <w:rsid w:val="002555AB"/>
    <w:rsid w:val="00255851"/>
    <w:rsid w:val="002565AA"/>
    <w:rsid w:val="002567E8"/>
    <w:rsid w:val="002573F3"/>
    <w:rsid w:val="0027169B"/>
    <w:rsid w:val="00272B64"/>
    <w:rsid w:val="00272F61"/>
    <w:rsid w:val="00275127"/>
    <w:rsid w:val="00275E88"/>
    <w:rsid w:val="00280979"/>
    <w:rsid w:val="00281A4C"/>
    <w:rsid w:val="00284AE5"/>
    <w:rsid w:val="00284CF3"/>
    <w:rsid w:val="00285A7A"/>
    <w:rsid w:val="00287827"/>
    <w:rsid w:val="00292A98"/>
    <w:rsid w:val="00293193"/>
    <w:rsid w:val="00293F22"/>
    <w:rsid w:val="00294079"/>
    <w:rsid w:val="002940FD"/>
    <w:rsid w:val="002947D3"/>
    <w:rsid w:val="002956E3"/>
    <w:rsid w:val="00295792"/>
    <w:rsid w:val="00296F0C"/>
    <w:rsid w:val="002A09AC"/>
    <w:rsid w:val="002A23B1"/>
    <w:rsid w:val="002A3059"/>
    <w:rsid w:val="002A3C6C"/>
    <w:rsid w:val="002A471A"/>
    <w:rsid w:val="002A54F2"/>
    <w:rsid w:val="002B138E"/>
    <w:rsid w:val="002B54A2"/>
    <w:rsid w:val="002B7968"/>
    <w:rsid w:val="002C12D2"/>
    <w:rsid w:val="002C1660"/>
    <w:rsid w:val="002C4451"/>
    <w:rsid w:val="002C6187"/>
    <w:rsid w:val="002C68DA"/>
    <w:rsid w:val="002D1878"/>
    <w:rsid w:val="002D33CE"/>
    <w:rsid w:val="002D551C"/>
    <w:rsid w:val="002D65D3"/>
    <w:rsid w:val="002D7556"/>
    <w:rsid w:val="002D78E5"/>
    <w:rsid w:val="002E1707"/>
    <w:rsid w:val="002E1AA8"/>
    <w:rsid w:val="002E1D0C"/>
    <w:rsid w:val="002E4441"/>
    <w:rsid w:val="002E7244"/>
    <w:rsid w:val="002F149E"/>
    <w:rsid w:val="002F1C19"/>
    <w:rsid w:val="002F1E17"/>
    <w:rsid w:val="002F2071"/>
    <w:rsid w:val="002F24E0"/>
    <w:rsid w:val="002F53EC"/>
    <w:rsid w:val="002F5A21"/>
    <w:rsid w:val="002F5B25"/>
    <w:rsid w:val="002F74A4"/>
    <w:rsid w:val="00304F58"/>
    <w:rsid w:val="00305434"/>
    <w:rsid w:val="00305FE9"/>
    <w:rsid w:val="00306151"/>
    <w:rsid w:val="003073C2"/>
    <w:rsid w:val="003073D1"/>
    <w:rsid w:val="003105EA"/>
    <w:rsid w:val="0031396A"/>
    <w:rsid w:val="003162B6"/>
    <w:rsid w:val="003167E6"/>
    <w:rsid w:val="00317FEA"/>
    <w:rsid w:val="0032077F"/>
    <w:rsid w:val="0032138D"/>
    <w:rsid w:val="00324630"/>
    <w:rsid w:val="0032612D"/>
    <w:rsid w:val="00327156"/>
    <w:rsid w:val="00327AB6"/>
    <w:rsid w:val="0033024B"/>
    <w:rsid w:val="00330837"/>
    <w:rsid w:val="0033133C"/>
    <w:rsid w:val="0033157A"/>
    <w:rsid w:val="0033186E"/>
    <w:rsid w:val="0033455B"/>
    <w:rsid w:val="003355FC"/>
    <w:rsid w:val="00341269"/>
    <w:rsid w:val="00342679"/>
    <w:rsid w:val="0034457C"/>
    <w:rsid w:val="00344FB6"/>
    <w:rsid w:val="00344FDD"/>
    <w:rsid w:val="0034728C"/>
    <w:rsid w:val="00347472"/>
    <w:rsid w:val="00347926"/>
    <w:rsid w:val="00353068"/>
    <w:rsid w:val="00353130"/>
    <w:rsid w:val="003537AC"/>
    <w:rsid w:val="00355A90"/>
    <w:rsid w:val="003575A2"/>
    <w:rsid w:val="0035763A"/>
    <w:rsid w:val="00357DCF"/>
    <w:rsid w:val="003626F4"/>
    <w:rsid w:val="00365684"/>
    <w:rsid w:val="00365E2C"/>
    <w:rsid w:val="00370357"/>
    <w:rsid w:val="0037142F"/>
    <w:rsid w:val="003735F2"/>
    <w:rsid w:val="00373C7A"/>
    <w:rsid w:val="00374707"/>
    <w:rsid w:val="003747FC"/>
    <w:rsid w:val="00377BEC"/>
    <w:rsid w:val="0038106E"/>
    <w:rsid w:val="00382836"/>
    <w:rsid w:val="003856AE"/>
    <w:rsid w:val="00391BAB"/>
    <w:rsid w:val="0039450A"/>
    <w:rsid w:val="00395915"/>
    <w:rsid w:val="003963E0"/>
    <w:rsid w:val="0039650C"/>
    <w:rsid w:val="00396712"/>
    <w:rsid w:val="00397114"/>
    <w:rsid w:val="003976FB"/>
    <w:rsid w:val="00397BD3"/>
    <w:rsid w:val="003A1452"/>
    <w:rsid w:val="003A28D9"/>
    <w:rsid w:val="003A2914"/>
    <w:rsid w:val="003A35BA"/>
    <w:rsid w:val="003A35F8"/>
    <w:rsid w:val="003A5E84"/>
    <w:rsid w:val="003A7E4E"/>
    <w:rsid w:val="003B0838"/>
    <w:rsid w:val="003B140F"/>
    <w:rsid w:val="003B28A9"/>
    <w:rsid w:val="003B34DD"/>
    <w:rsid w:val="003B5553"/>
    <w:rsid w:val="003C7BC3"/>
    <w:rsid w:val="003D0247"/>
    <w:rsid w:val="003D23DD"/>
    <w:rsid w:val="003D263C"/>
    <w:rsid w:val="003D4927"/>
    <w:rsid w:val="003D5808"/>
    <w:rsid w:val="003D60C9"/>
    <w:rsid w:val="003D667E"/>
    <w:rsid w:val="003D6FDA"/>
    <w:rsid w:val="003D70E5"/>
    <w:rsid w:val="003D7CB7"/>
    <w:rsid w:val="003E2F51"/>
    <w:rsid w:val="003E386D"/>
    <w:rsid w:val="003E54DF"/>
    <w:rsid w:val="003E55B2"/>
    <w:rsid w:val="003E586C"/>
    <w:rsid w:val="003E74E0"/>
    <w:rsid w:val="003E778B"/>
    <w:rsid w:val="003F1A7A"/>
    <w:rsid w:val="003F2EB0"/>
    <w:rsid w:val="003F4790"/>
    <w:rsid w:val="003F516E"/>
    <w:rsid w:val="003F7CF4"/>
    <w:rsid w:val="00400BE3"/>
    <w:rsid w:val="004016CD"/>
    <w:rsid w:val="00403840"/>
    <w:rsid w:val="0040435F"/>
    <w:rsid w:val="00404393"/>
    <w:rsid w:val="00412339"/>
    <w:rsid w:val="0041345B"/>
    <w:rsid w:val="00413996"/>
    <w:rsid w:val="0041438E"/>
    <w:rsid w:val="004158D9"/>
    <w:rsid w:val="00415DB7"/>
    <w:rsid w:val="00416FB2"/>
    <w:rsid w:val="004172E6"/>
    <w:rsid w:val="00417349"/>
    <w:rsid w:val="004174EA"/>
    <w:rsid w:val="004227D0"/>
    <w:rsid w:val="00425BFC"/>
    <w:rsid w:val="00425E07"/>
    <w:rsid w:val="00426863"/>
    <w:rsid w:val="00431B31"/>
    <w:rsid w:val="004401D5"/>
    <w:rsid w:val="00443C13"/>
    <w:rsid w:val="00446017"/>
    <w:rsid w:val="00446B69"/>
    <w:rsid w:val="00452504"/>
    <w:rsid w:val="00455A43"/>
    <w:rsid w:val="004611BE"/>
    <w:rsid w:val="00463985"/>
    <w:rsid w:val="00463E90"/>
    <w:rsid w:val="00464998"/>
    <w:rsid w:val="00470D4D"/>
    <w:rsid w:val="00471344"/>
    <w:rsid w:val="00471A75"/>
    <w:rsid w:val="004725A2"/>
    <w:rsid w:val="00472DFA"/>
    <w:rsid w:val="004745DB"/>
    <w:rsid w:val="00474E15"/>
    <w:rsid w:val="00477323"/>
    <w:rsid w:val="00477333"/>
    <w:rsid w:val="004773A3"/>
    <w:rsid w:val="00481CB8"/>
    <w:rsid w:val="00481D68"/>
    <w:rsid w:val="00482405"/>
    <w:rsid w:val="00482BC5"/>
    <w:rsid w:val="00483D24"/>
    <w:rsid w:val="00483E07"/>
    <w:rsid w:val="004847D6"/>
    <w:rsid w:val="00484D76"/>
    <w:rsid w:val="00484EF5"/>
    <w:rsid w:val="0048516A"/>
    <w:rsid w:val="004854AB"/>
    <w:rsid w:val="00485FEB"/>
    <w:rsid w:val="00486C3B"/>
    <w:rsid w:val="00486E63"/>
    <w:rsid w:val="00491B1C"/>
    <w:rsid w:val="0049464A"/>
    <w:rsid w:val="00494E44"/>
    <w:rsid w:val="004A5D52"/>
    <w:rsid w:val="004A6D96"/>
    <w:rsid w:val="004A70E0"/>
    <w:rsid w:val="004B1F6A"/>
    <w:rsid w:val="004B2471"/>
    <w:rsid w:val="004B4F25"/>
    <w:rsid w:val="004B597F"/>
    <w:rsid w:val="004B692C"/>
    <w:rsid w:val="004C2077"/>
    <w:rsid w:val="004C25A6"/>
    <w:rsid w:val="004C5599"/>
    <w:rsid w:val="004D1409"/>
    <w:rsid w:val="004D549E"/>
    <w:rsid w:val="004E186D"/>
    <w:rsid w:val="004E18A5"/>
    <w:rsid w:val="004E256B"/>
    <w:rsid w:val="004E30AD"/>
    <w:rsid w:val="004E3AE5"/>
    <w:rsid w:val="004E5087"/>
    <w:rsid w:val="004E6504"/>
    <w:rsid w:val="004F09E1"/>
    <w:rsid w:val="004F1CBE"/>
    <w:rsid w:val="004F20BF"/>
    <w:rsid w:val="004F40AB"/>
    <w:rsid w:val="004F418C"/>
    <w:rsid w:val="004F6916"/>
    <w:rsid w:val="005004D9"/>
    <w:rsid w:val="00502BB1"/>
    <w:rsid w:val="00502C15"/>
    <w:rsid w:val="005037B7"/>
    <w:rsid w:val="00504374"/>
    <w:rsid w:val="005056A2"/>
    <w:rsid w:val="005137CF"/>
    <w:rsid w:val="0051480E"/>
    <w:rsid w:val="00515405"/>
    <w:rsid w:val="00516E66"/>
    <w:rsid w:val="00520D56"/>
    <w:rsid w:val="00520EE9"/>
    <w:rsid w:val="0052140E"/>
    <w:rsid w:val="0052226A"/>
    <w:rsid w:val="00522F9C"/>
    <w:rsid w:val="00523897"/>
    <w:rsid w:val="005252DA"/>
    <w:rsid w:val="005307B2"/>
    <w:rsid w:val="005311E3"/>
    <w:rsid w:val="0053167E"/>
    <w:rsid w:val="00535E80"/>
    <w:rsid w:val="00537275"/>
    <w:rsid w:val="00540990"/>
    <w:rsid w:val="00541901"/>
    <w:rsid w:val="0054401D"/>
    <w:rsid w:val="005447C9"/>
    <w:rsid w:val="00544C7B"/>
    <w:rsid w:val="00547528"/>
    <w:rsid w:val="00550474"/>
    <w:rsid w:val="00554C90"/>
    <w:rsid w:val="00556196"/>
    <w:rsid w:val="00556C8A"/>
    <w:rsid w:val="005604EA"/>
    <w:rsid w:val="00562B17"/>
    <w:rsid w:val="00566B39"/>
    <w:rsid w:val="00571ECD"/>
    <w:rsid w:val="00573F8A"/>
    <w:rsid w:val="00574E6B"/>
    <w:rsid w:val="0057591A"/>
    <w:rsid w:val="00575D90"/>
    <w:rsid w:val="00576B9D"/>
    <w:rsid w:val="005777FE"/>
    <w:rsid w:val="005843C4"/>
    <w:rsid w:val="00587194"/>
    <w:rsid w:val="00590144"/>
    <w:rsid w:val="00592F7A"/>
    <w:rsid w:val="00593029"/>
    <w:rsid w:val="0059348E"/>
    <w:rsid w:val="00593798"/>
    <w:rsid w:val="00595DC6"/>
    <w:rsid w:val="005A0C2D"/>
    <w:rsid w:val="005A2700"/>
    <w:rsid w:val="005A2734"/>
    <w:rsid w:val="005A66C9"/>
    <w:rsid w:val="005B25E9"/>
    <w:rsid w:val="005B2B7D"/>
    <w:rsid w:val="005B5948"/>
    <w:rsid w:val="005B69E9"/>
    <w:rsid w:val="005B7D84"/>
    <w:rsid w:val="005B7DC5"/>
    <w:rsid w:val="005B7FDB"/>
    <w:rsid w:val="005C233F"/>
    <w:rsid w:val="005C5007"/>
    <w:rsid w:val="005C592D"/>
    <w:rsid w:val="005C77F4"/>
    <w:rsid w:val="005D0D91"/>
    <w:rsid w:val="005D3C06"/>
    <w:rsid w:val="005D4838"/>
    <w:rsid w:val="005E1A19"/>
    <w:rsid w:val="005E493A"/>
    <w:rsid w:val="005E7875"/>
    <w:rsid w:val="005F08DB"/>
    <w:rsid w:val="005F0C4E"/>
    <w:rsid w:val="005F58CB"/>
    <w:rsid w:val="005F720F"/>
    <w:rsid w:val="00600A6C"/>
    <w:rsid w:val="00607348"/>
    <w:rsid w:val="006104F1"/>
    <w:rsid w:val="0061264A"/>
    <w:rsid w:val="0061383B"/>
    <w:rsid w:val="00617C8F"/>
    <w:rsid w:val="00617D16"/>
    <w:rsid w:val="0062157A"/>
    <w:rsid w:val="00622D4B"/>
    <w:rsid w:val="00622FC0"/>
    <w:rsid w:val="0062363B"/>
    <w:rsid w:val="00624A09"/>
    <w:rsid w:val="00625955"/>
    <w:rsid w:val="00626617"/>
    <w:rsid w:val="00630551"/>
    <w:rsid w:val="006306E0"/>
    <w:rsid w:val="00630D46"/>
    <w:rsid w:val="00633D1E"/>
    <w:rsid w:val="00637C30"/>
    <w:rsid w:val="006401AE"/>
    <w:rsid w:val="00641295"/>
    <w:rsid w:val="00641C82"/>
    <w:rsid w:val="00646B2D"/>
    <w:rsid w:val="00650319"/>
    <w:rsid w:val="00650404"/>
    <w:rsid w:val="00650A16"/>
    <w:rsid w:val="00651628"/>
    <w:rsid w:val="006535B2"/>
    <w:rsid w:val="006536AC"/>
    <w:rsid w:val="00653808"/>
    <w:rsid w:val="00654D18"/>
    <w:rsid w:val="006558F8"/>
    <w:rsid w:val="00656B91"/>
    <w:rsid w:val="00662186"/>
    <w:rsid w:val="00662C1D"/>
    <w:rsid w:val="00664D8B"/>
    <w:rsid w:val="00666063"/>
    <w:rsid w:val="006671E7"/>
    <w:rsid w:val="00667A50"/>
    <w:rsid w:val="0067011A"/>
    <w:rsid w:val="00671292"/>
    <w:rsid w:val="00672A14"/>
    <w:rsid w:val="00672C56"/>
    <w:rsid w:val="00675ED7"/>
    <w:rsid w:val="006768C0"/>
    <w:rsid w:val="00677FD9"/>
    <w:rsid w:val="006828A9"/>
    <w:rsid w:val="006837DF"/>
    <w:rsid w:val="0068385B"/>
    <w:rsid w:val="00683F67"/>
    <w:rsid w:val="006848E0"/>
    <w:rsid w:val="00684A7A"/>
    <w:rsid w:val="0068647D"/>
    <w:rsid w:val="00690AF2"/>
    <w:rsid w:val="00691A96"/>
    <w:rsid w:val="0069317F"/>
    <w:rsid w:val="0069460E"/>
    <w:rsid w:val="00697CA4"/>
    <w:rsid w:val="006A1AE9"/>
    <w:rsid w:val="006A2C17"/>
    <w:rsid w:val="006A47FA"/>
    <w:rsid w:val="006A487B"/>
    <w:rsid w:val="006A6E01"/>
    <w:rsid w:val="006A737C"/>
    <w:rsid w:val="006B108B"/>
    <w:rsid w:val="006B12BB"/>
    <w:rsid w:val="006B1EF9"/>
    <w:rsid w:val="006B3466"/>
    <w:rsid w:val="006B47A3"/>
    <w:rsid w:val="006B751A"/>
    <w:rsid w:val="006B7A6F"/>
    <w:rsid w:val="006B7C1E"/>
    <w:rsid w:val="006B7D45"/>
    <w:rsid w:val="006C10C4"/>
    <w:rsid w:val="006C21A9"/>
    <w:rsid w:val="006C3709"/>
    <w:rsid w:val="006C640F"/>
    <w:rsid w:val="006C6A51"/>
    <w:rsid w:val="006C7BC0"/>
    <w:rsid w:val="006D0D06"/>
    <w:rsid w:val="006D1E72"/>
    <w:rsid w:val="006D20C7"/>
    <w:rsid w:val="006D26DA"/>
    <w:rsid w:val="006D3B62"/>
    <w:rsid w:val="006D49A7"/>
    <w:rsid w:val="006E1A04"/>
    <w:rsid w:val="006E1B4F"/>
    <w:rsid w:val="006E28D1"/>
    <w:rsid w:val="006E6729"/>
    <w:rsid w:val="006F0711"/>
    <w:rsid w:val="006F0DEC"/>
    <w:rsid w:val="006F34FC"/>
    <w:rsid w:val="006F490E"/>
    <w:rsid w:val="006F62E1"/>
    <w:rsid w:val="00700C2B"/>
    <w:rsid w:val="00705727"/>
    <w:rsid w:val="007057C8"/>
    <w:rsid w:val="00706D06"/>
    <w:rsid w:val="00711E05"/>
    <w:rsid w:val="00712459"/>
    <w:rsid w:val="00712B30"/>
    <w:rsid w:val="007135E4"/>
    <w:rsid w:val="00714664"/>
    <w:rsid w:val="0071485C"/>
    <w:rsid w:val="00714A3E"/>
    <w:rsid w:val="00717842"/>
    <w:rsid w:val="007248C5"/>
    <w:rsid w:val="00726691"/>
    <w:rsid w:val="00727D76"/>
    <w:rsid w:val="00730CE1"/>
    <w:rsid w:val="00733233"/>
    <w:rsid w:val="0073511A"/>
    <w:rsid w:val="00742B7B"/>
    <w:rsid w:val="00745A8C"/>
    <w:rsid w:val="00745BCA"/>
    <w:rsid w:val="007463DE"/>
    <w:rsid w:val="00747B22"/>
    <w:rsid w:val="00751BBD"/>
    <w:rsid w:val="00752E43"/>
    <w:rsid w:val="00753675"/>
    <w:rsid w:val="00753BD2"/>
    <w:rsid w:val="00754942"/>
    <w:rsid w:val="007559FD"/>
    <w:rsid w:val="00755BDE"/>
    <w:rsid w:val="007562CC"/>
    <w:rsid w:val="00761B45"/>
    <w:rsid w:val="00766513"/>
    <w:rsid w:val="00770D6E"/>
    <w:rsid w:val="0077596D"/>
    <w:rsid w:val="00775BF8"/>
    <w:rsid w:val="00776B00"/>
    <w:rsid w:val="00777A47"/>
    <w:rsid w:val="00777CB1"/>
    <w:rsid w:val="00777F70"/>
    <w:rsid w:val="0077F139"/>
    <w:rsid w:val="007821AD"/>
    <w:rsid w:val="007838BF"/>
    <w:rsid w:val="007856B8"/>
    <w:rsid w:val="007857A9"/>
    <w:rsid w:val="007862C3"/>
    <w:rsid w:val="007865E3"/>
    <w:rsid w:val="007976F4"/>
    <w:rsid w:val="00797CC9"/>
    <w:rsid w:val="007A0A11"/>
    <w:rsid w:val="007A15B9"/>
    <w:rsid w:val="007A5588"/>
    <w:rsid w:val="007A66A0"/>
    <w:rsid w:val="007A7131"/>
    <w:rsid w:val="007B0222"/>
    <w:rsid w:val="007B3581"/>
    <w:rsid w:val="007B3AE3"/>
    <w:rsid w:val="007B3E48"/>
    <w:rsid w:val="007B54E1"/>
    <w:rsid w:val="007B66EB"/>
    <w:rsid w:val="007B7874"/>
    <w:rsid w:val="007C2B49"/>
    <w:rsid w:val="007C2B51"/>
    <w:rsid w:val="007C4D75"/>
    <w:rsid w:val="007C5E1C"/>
    <w:rsid w:val="007C5E91"/>
    <w:rsid w:val="007C6363"/>
    <w:rsid w:val="007D123E"/>
    <w:rsid w:val="007D205F"/>
    <w:rsid w:val="007D2366"/>
    <w:rsid w:val="007D2E92"/>
    <w:rsid w:val="007D5B6E"/>
    <w:rsid w:val="007D71D6"/>
    <w:rsid w:val="007E1110"/>
    <w:rsid w:val="007E333F"/>
    <w:rsid w:val="007E5080"/>
    <w:rsid w:val="007E5FEB"/>
    <w:rsid w:val="007E7B80"/>
    <w:rsid w:val="007F173E"/>
    <w:rsid w:val="007F1A51"/>
    <w:rsid w:val="007F1D49"/>
    <w:rsid w:val="007F1FEB"/>
    <w:rsid w:val="007F4F73"/>
    <w:rsid w:val="00801C45"/>
    <w:rsid w:val="00801E37"/>
    <w:rsid w:val="00804C76"/>
    <w:rsid w:val="00807ABE"/>
    <w:rsid w:val="00807B97"/>
    <w:rsid w:val="008131D4"/>
    <w:rsid w:val="00817798"/>
    <w:rsid w:val="008216C3"/>
    <w:rsid w:val="00823865"/>
    <w:rsid w:val="00823889"/>
    <w:rsid w:val="00824339"/>
    <w:rsid w:val="00825537"/>
    <w:rsid w:val="008308CE"/>
    <w:rsid w:val="00831088"/>
    <w:rsid w:val="00831344"/>
    <w:rsid w:val="008319B4"/>
    <w:rsid w:val="008347E8"/>
    <w:rsid w:val="0083766D"/>
    <w:rsid w:val="008411D1"/>
    <w:rsid w:val="008414AA"/>
    <w:rsid w:val="00841C60"/>
    <w:rsid w:val="0084260F"/>
    <w:rsid w:val="00842C9F"/>
    <w:rsid w:val="008437B3"/>
    <w:rsid w:val="00843952"/>
    <w:rsid w:val="008458DD"/>
    <w:rsid w:val="008519FB"/>
    <w:rsid w:val="0085476D"/>
    <w:rsid w:val="00856CB9"/>
    <w:rsid w:val="00862ED6"/>
    <w:rsid w:val="00863BAB"/>
    <w:rsid w:val="008660EB"/>
    <w:rsid w:val="00866466"/>
    <w:rsid w:val="00867521"/>
    <w:rsid w:val="0087016F"/>
    <w:rsid w:val="00870A43"/>
    <w:rsid w:val="00871A49"/>
    <w:rsid w:val="00872C38"/>
    <w:rsid w:val="00876E48"/>
    <w:rsid w:val="00880C00"/>
    <w:rsid w:val="008826EF"/>
    <w:rsid w:val="008836CA"/>
    <w:rsid w:val="00884250"/>
    <w:rsid w:val="00884302"/>
    <w:rsid w:val="00885A0E"/>
    <w:rsid w:val="008867BF"/>
    <w:rsid w:val="008867D8"/>
    <w:rsid w:val="008916F8"/>
    <w:rsid w:val="00891F8F"/>
    <w:rsid w:val="00897691"/>
    <w:rsid w:val="008A1726"/>
    <w:rsid w:val="008A3712"/>
    <w:rsid w:val="008A3A61"/>
    <w:rsid w:val="008A3F66"/>
    <w:rsid w:val="008A439A"/>
    <w:rsid w:val="008A62FE"/>
    <w:rsid w:val="008A7A81"/>
    <w:rsid w:val="008B0DA0"/>
    <w:rsid w:val="008B1A96"/>
    <w:rsid w:val="008B231C"/>
    <w:rsid w:val="008B3B35"/>
    <w:rsid w:val="008B4AD3"/>
    <w:rsid w:val="008B4DB4"/>
    <w:rsid w:val="008C06FC"/>
    <w:rsid w:val="008C0E3F"/>
    <w:rsid w:val="008C1392"/>
    <w:rsid w:val="008C2035"/>
    <w:rsid w:val="008C4850"/>
    <w:rsid w:val="008D02E5"/>
    <w:rsid w:val="008D39D9"/>
    <w:rsid w:val="008D4185"/>
    <w:rsid w:val="008D4700"/>
    <w:rsid w:val="008D4830"/>
    <w:rsid w:val="008D5474"/>
    <w:rsid w:val="008E19D6"/>
    <w:rsid w:val="008E3DCB"/>
    <w:rsid w:val="008E441E"/>
    <w:rsid w:val="008E5EF3"/>
    <w:rsid w:val="008E6626"/>
    <w:rsid w:val="008E6B6F"/>
    <w:rsid w:val="008E778D"/>
    <w:rsid w:val="008F01A1"/>
    <w:rsid w:val="008F1440"/>
    <w:rsid w:val="008F3133"/>
    <w:rsid w:val="008F3B5B"/>
    <w:rsid w:val="008F4A8C"/>
    <w:rsid w:val="008F5ED3"/>
    <w:rsid w:val="0090161F"/>
    <w:rsid w:val="009029C8"/>
    <w:rsid w:val="0090449B"/>
    <w:rsid w:val="009101DF"/>
    <w:rsid w:val="00911C77"/>
    <w:rsid w:val="00912194"/>
    <w:rsid w:val="00913830"/>
    <w:rsid w:val="00921A21"/>
    <w:rsid w:val="00921CF6"/>
    <w:rsid w:val="00925521"/>
    <w:rsid w:val="00925AEB"/>
    <w:rsid w:val="00925FC2"/>
    <w:rsid w:val="00926B24"/>
    <w:rsid w:val="00927150"/>
    <w:rsid w:val="0092778B"/>
    <w:rsid w:val="009319AA"/>
    <w:rsid w:val="00933AD4"/>
    <w:rsid w:val="00940140"/>
    <w:rsid w:val="00940C1E"/>
    <w:rsid w:val="00942A7C"/>
    <w:rsid w:val="0094404D"/>
    <w:rsid w:val="0094444F"/>
    <w:rsid w:val="009513C8"/>
    <w:rsid w:val="00951A34"/>
    <w:rsid w:val="00952EC5"/>
    <w:rsid w:val="009570F1"/>
    <w:rsid w:val="00957C6C"/>
    <w:rsid w:val="009603C5"/>
    <w:rsid w:val="009603EC"/>
    <w:rsid w:val="00961084"/>
    <w:rsid w:val="00961B0D"/>
    <w:rsid w:val="0096354E"/>
    <w:rsid w:val="00963942"/>
    <w:rsid w:val="00964FC9"/>
    <w:rsid w:val="00970441"/>
    <w:rsid w:val="00970C98"/>
    <w:rsid w:val="00972555"/>
    <w:rsid w:val="00974717"/>
    <w:rsid w:val="009749F6"/>
    <w:rsid w:val="00975304"/>
    <w:rsid w:val="0098195B"/>
    <w:rsid w:val="00981E0C"/>
    <w:rsid w:val="0098553B"/>
    <w:rsid w:val="00990391"/>
    <w:rsid w:val="0099154E"/>
    <w:rsid w:val="009931EB"/>
    <w:rsid w:val="00995D41"/>
    <w:rsid w:val="009970A1"/>
    <w:rsid w:val="00997BA5"/>
    <w:rsid w:val="009A1102"/>
    <w:rsid w:val="009A12C4"/>
    <w:rsid w:val="009A2F3D"/>
    <w:rsid w:val="009A435B"/>
    <w:rsid w:val="009A4C6E"/>
    <w:rsid w:val="009A63E5"/>
    <w:rsid w:val="009A7B44"/>
    <w:rsid w:val="009B12D8"/>
    <w:rsid w:val="009B14C5"/>
    <w:rsid w:val="009B16C7"/>
    <w:rsid w:val="009B32AD"/>
    <w:rsid w:val="009B674D"/>
    <w:rsid w:val="009C036F"/>
    <w:rsid w:val="009C0AC7"/>
    <w:rsid w:val="009C1CAC"/>
    <w:rsid w:val="009C3657"/>
    <w:rsid w:val="009C5C38"/>
    <w:rsid w:val="009C641E"/>
    <w:rsid w:val="009C65EE"/>
    <w:rsid w:val="009C6879"/>
    <w:rsid w:val="009D4D51"/>
    <w:rsid w:val="009D5D83"/>
    <w:rsid w:val="009D66D5"/>
    <w:rsid w:val="009E0754"/>
    <w:rsid w:val="009E1841"/>
    <w:rsid w:val="009E21DE"/>
    <w:rsid w:val="009E248C"/>
    <w:rsid w:val="009E6C99"/>
    <w:rsid w:val="009E7717"/>
    <w:rsid w:val="009E7EC7"/>
    <w:rsid w:val="009F22F9"/>
    <w:rsid w:val="009F3791"/>
    <w:rsid w:val="009F4329"/>
    <w:rsid w:val="009F5363"/>
    <w:rsid w:val="009F63F2"/>
    <w:rsid w:val="00A00099"/>
    <w:rsid w:val="00A01745"/>
    <w:rsid w:val="00A038A5"/>
    <w:rsid w:val="00A05587"/>
    <w:rsid w:val="00A06335"/>
    <w:rsid w:val="00A06C6E"/>
    <w:rsid w:val="00A06CCF"/>
    <w:rsid w:val="00A11946"/>
    <w:rsid w:val="00A132F4"/>
    <w:rsid w:val="00A13D2B"/>
    <w:rsid w:val="00A140CC"/>
    <w:rsid w:val="00A140D4"/>
    <w:rsid w:val="00A14833"/>
    <w:rsid w:val="00A17A27"/>
    <w:rsid w:val="00A20507"/>
    <w:rsid w:val="00A21933"/>
    <w:rsid w:val="00A2404A"/>
    <w:rsid w:val="00A255A2"/>
    <w:rsid w:val="00A25EF9"/>
    <w:rsid w:val="00A3138F"/>
    <w:rsid w:val="00A35265"/>
    <w:rsid w:val="00A35389"/>
    <w:rsid w:val="00A3757E"/>
    <w:rsid w:val="00A4147C"/>
    <w:rsid w:val="00A43A7E"/>
    <w:rsid w:val="00A445DC"/>
    <w:rsid w:val="00A45891"/>
    <w:rsid w:val="00A46EAD"/>
    <w:rsid w:val="00A515F5"/>
    <w:rsid w:val="00A51AE1"/>
    <w:rsid w:val="00A51D28"/>
    <w:rsid w:val="00A558DE"/>
    <w:rsid w:val="00A55978"/>
    <w:rsid w:val="00A56600"/>
    <w:rsid w:val="00A56DBA"/>
    <w:rsid w:val="00A61345"/>
    <w:rsid w:val="00A61652"/>
    <w:rsid w:val="00A63AE4"/>
    <w:rsid w:val="00A65DC4"/>
    <w:rsid w:val="00A66CD8"/>
    <w:rsid w:val="00A70864"/>
    <w:rsid w:val="00A708B3"/>
    <w:rsid w:val="00A75BD8"/>
    <w:rsid w:val="00A82485"/>
    <w:rsid w:val="00A84D2F"/>
    <w:rsid w:val="00A87CDF"/>
    <w:rsid w:val="00A90F57"/>
    <w:rsid w:val="00A94B97"/>
    <w:rsid w:val="00A977C3"/>
    <w:rsid w:val="00AA00D4"/>
    <w:rsid w:val="00AA0A49"/>
    <w:rsid w:val="00AA1004"/>
    <w:rsid w:val="00AA2893"/>
    <w:rsid w:val="00AA4A68"/>
    <w:rsid w:val="00AA51FB"/>
    <w:rsid w:val="00AA5ED8"/>
    <w:rsid w:val="00AB03E8"/>
    <w:rsid w:val="00AB1AAA"/>
    <w:rsid w:val="00AB1D0F"/>
    <w:rsid w:val="00AB4567"/>
    <w:rsid w:val="00AB5E94"/>
    <w:rsid w:val="00AB6B7D"/>
    <w:rsid w:val="00AC0039"/>
    <w:rsid w:val="00AC1162"/>
    <w:rsid w:val="00AC34CA"/>
    <w:rsid w:val="00AC39E2"/>
    <w:rsid w:val="00AC7CC0"/>
    <w:rsid w:val="00AD4D47"/>
    <w:rsid w:val="00AE00FA"/>
    <w:rsid w:val="00AE0F5F"/>
    <w:rsid w:val="00AE2E58"/>
    <w:rsid w:val="00AE3F7E"/>
    <w:rsid w:val="00AE4115"/>
    <w:rsid w:val="00AE60A6"/>
    <w:rsid w:val="00AE7365"/>
    <w:rsid w:val="00AE7559"/>
    <w:rsid w:val="00AF7B4D"/>
    <w:rsid w:val="00B0334E"/>
    <w:rsid w:val="00B044C4"/>
    <w:rsid w:val="00B050F6"/>
    <w:rsid w:val="00B0559E"/>
    <w:rsid w:val="00B12ACB"/>
    <w:rsid w:val="00B12EE8"/>
    <w:rsid w:val="00B133EA"/>
    <w:rsid w:val="00B14B79"/>
    <w:rsid w:val="00B152CD"/>
    <w:rsid w:val="00B20670"/>
    <w:rsid w:val="00B22945"/>
    <w:rsid w:val="00B27B03"/>
    <w:rsid w:val="00B41229"/>
    <w:rsid w:val="00B415C2"/>
    <w:rsid w:val="00B41E15"/>
    <w:rsid w:val="00B42830"/>
    <w:rsid w:val="00B43992"/>
    <w:rsid w:val="00B461F1"/>
    <w:rsid w:val="00B5051C"/>
    <w:rsid w:val="00B52B83"/>
    <w:rsid w:val="00B53034"/>
    <w:rsid w:val="00B55151"/>
    <w:rsid w:val="00B5561B"/>
    <w:rsid w:val="00B625C1"/>
    <w:rsid w:val="00B62B1E"/>
    <w:rsid w:val="00B6384D"/>
    <w:rsid w:val="00B6384F"/>
    <w:rsid w:val="00B64EF2"/>
    <w:rsid w:val="00B661FA"/>
    <w:rsid w:val="00B66524"/>
    <w:rsid w:val="00B672B4"/>
    <w:rsid w:val="00B6782A"/>
    <w:rsid w:val="00B679C3"/>
    <w:rsid w:val="00B74DD4"/>
    <w:rsid w:val="00B8058B"/>
    <w:rsid w:val="00B80BF1"/>
    <w:rsid w:val="00B81BEC"/>
    <w:rsid w:val="00B82910"/>
    <w:rsid w:val="00B82A71"/>
    <w:rsid w:val="00B82FA9"/>
    <w:rsid w:val="00B8772C"/>
    <w:rsid w:val="00B91B15"/>
    <w:rsid w:val="00B933F4"/>
    <w:rsid w:val="00B9390B"/>
    <w:rsid w:val="00BA14CD"/>
    <w:rsid w:val="00BA5B1D"/>
    <w:rsid w:val="00BA6295"/>
    <w:rsid w:val="00BB0B3E"/>
    <w:rsid w:val="00BB2785"/>
    <w:rsid w:val="00BB7C28"/>
    <w:rsid w:val="00BC2984"/>
    <w:rsid w:val="00BC4835"/>
    <w:rsid w:val="00BC4AE3"/>
    <w:rsid w:val="00BD0253"/>
    <w:rsid w:val="00BD0F88"/>
    <w:rsid w:val="00BD1506"/>
    <w:rsid w:val="00BD35A7"/>
    <w:rsid w:val="00BD3655"/>
    <w:rsid w:val="00BD493E"/>
    <w:rsid w:val="00BD705A"/>
    <w:rsid w:val="00BD77D0"/>
    <w:rsid w:val="00BE1EB5"/>
    <w:rsid w:val="00BE3277"/>
    <w:rsid w:val="00BE3916"/>
    <w:rsid w:val="00BE669A"/>
    <w:rsid w:val="00BF0046"/>
    <w:rsid w:val="00BF0D9E"/>
    <w:rsid w:val="00BF1AAB"/>
    <w:rsid w:val="00BF336E"/>
    <w:rsid w:val="00BF5D46"/>
    <w:rsid w:val="00BF5FAD"/>
    <w:rsid w:val="00BF6CEA"/>
    <w:rsid w:val="00BF6EA8"/>
    <w:rsid w:val="00C000D8"/>
    <w:rsid w:val="00C00338"/>
    <w:rsid w:val="00C00FE6"/>
    <w:rsid w:val="00C02A5B"/>
    <w:rsid w:val="00C04350"/>
    <w:rsid w:val="00C06D2C"/>
    <w:rsid w:val="00C07962"/>
    <w:rsid w:val="00C07CC1"/>
    <w:rsid w:val="00C12CAB"/>
    <w:rsid w:val="00C15594"/>
    <w:rsid w:val="00C17050"/>
    <w:rsid w:val="00C178AA"/>
    <w:rsid w:val="00C271D9"/>
    <w:rsid w:val="00C303C0"/>
    <w:rsid w:val="00C30503"/>
    <w:rsid w:val="00C308B2"/>
    <w:rsid w:val="00C32DC2"/>
    <w:rsid w:val="00C34621"/>
    <w:rsid w:val="00C4090A"/>
    <w:rsid w:val="00C40BD8"/>
    <w:rsid w:val="00C41C2E"/>
    <w:rsid w:val="00C41EF4"/>
    <w:rsid w:val="00C42A52"/>
    <w:rsid w:val="00C454E7"/>
    <w:rsid w:val="00C50656"/>
    <w:rsid w:val="00C52849"/>
    <w:rsid w:val="00C530A1"/>
    <w:rsid w:val="00C5675F"/>
    <w:rsid w:val="00C568B3"/>
    <w:rsid w:val="00C56DA6"/>
    <w:rsid w:val="00C603E4"/>
    <w:rsid w:val="00C62237"/>
    <w:rsid w:val="00C63130"/>
    <w:rsid w:val="00C638BE"/>
    <w:rsid w:val="00C646B3"/>
    <w:rsid w:val="00C703FA"/>
    <w:rsid w:val="00C7132A"/>
    <w:rsid w:val="00C71E51"/>
    <w:rsid w:val="00C71E7B"/>
    <w:rsid w:val="00C7296A"/>
    <w:rsid w:val="00C744E9"/>
    <w:rsid w:val="00C7542D"/>
    <w:rsid w:val="00C77C59"/>
    <w:rsid w:val="00C8122C"/>
    <w:rsid w:val="00C81BB4"/>
    <w:rsid w:val="00C8371F"/>
    <w:rsid w:val="00C83F58"/>
    <w:rsid w:val="00C84B9D"/>
    <w:rsid w:val="00C85B7E"/>
    <w:rsid w:val="00C86020"/>
    <w:rsid w:val="00C862D7"/>
    <w:rsid w:val="00C90054"/>
    <w:rsid w:val="00C903C0"/>
    <w:rsid w:val="00C92A1B"/>
    <w:rsid w:val="00C92EB8"/>
    <w:rsid w:val="00C94EE6"/>
    <w:rsid w:val="00C96CA5"/>
    <w:rsid w:val="00CA14E5"/>
    <w:rsid w:val="00CA21FC"/>
    <w:rsid w:val="00CA38C7"/>
    <w:rsid w:val="00CA5377"/>
    <w:rsid w:val="00CA68C0"/>
    <w:rsid w:val="00CA7C10"/>
    <w:rsid w:val="00CA7C4D"/>
    <w:rsid w:val="00CB08FA"/>
    <w:rsid w:val="00CB0E2F"/>
    <w:rsid w:val="00CB2FA9"/>
    <w:rsid w:val="00CB3403"/>
    <w:rsid w:val="00CB51B2"/>
    <w:rsid w:val="00CB5EE1"/>
    <w:rsid w:val="00CB6422"/>
    <w:rsid w:val="00CB6B35"/>
    <w:rsid w:val="00CC06D2"/>
    <w:rsid w:val="00CC1E8B"/>
    <w:rsid w:val="00CC1F46"/>
    <w:rsid w:val="00CC3A1B"/>
    <w:rsid w:val="00CD0C2F"/>
    <w:rsid w:val="00CD0E26"/>
    <w:rsid w:val="00CD1861"/>
    <w:rsid w:val="00CD2049"/>
    <w:rsid w:val="00CD4195"/>
    <w:rsid w:val="00CD4815"/>
    <w:rsid w:val="00CE0205"/>
    <w:rsid w:val="00CE0F03"/>
    <w:rsid w:val="00CE231B"/>
    <w:rsid w:val="00CE29CC"/>
    <w:rsid w:val="00CE2A04"/>
    <w:rsid w:val="00CE4478"/>
    <w:rsid w:val="00CE4856"/>
    <w:rsid w:val="00CF0F27"/>
    <w:rsid w:val="00CF1077"/>
    <w:rsid w:val="00CF26A5"/>
    <w:rsid w:val="00CF53F5"/>
    <w:rsid w:val="00CF6BE5"/>
    <w:rsid w:val="00D0073D"/>
    <w:rsid w:val="00D00CA5"/>
    <w:rsid w:val="00D0121B"/>
    <w:rsid w:val="00D016C6"/>
    <w:rsid w:val="00D01A1C"/>
    <w:rsid w:val="00D02DC2"/>
    <w:rsid w:val="00D02E7F"/>
    <w:rsid w:val="00D0472F"/>
    <w:rsid w:val="00D0497C"/>
    <w:rsid w:val="00D04B39"/>
    <w:rsid w:val="00D069A3"/>
    <w:rsid w:val="00D07496"/>
    <w:rsid w:val="00D10AF8"/>
    <w:rsid w:val="00D13758"/>
    <w:rsid w:val="00D217DF"/>
    <w:rsid w:val="00D23796"/>
    <w:rsid w:val="00D24689"/>
    <w:rsid w:val="00D263AE"/>
    <w:rsid w:val="00D274A9"/>
    <w:rsid w:val="00D32164"/>
    <w:rsid w:val="00D3408B"/>
    <w:rsid w:val="00D34F56"/>
    <w:rsid w:val="00D36B8E"/>
    <w:rsid w:val="00D372D6"/>
    <w:rsid w:val="00D37967"/>
    <w:rsid w:val="00D37ADA"/>
    <w:rsid w:val="00D410EC"/>
    <w:rsid w:val="00D45530"/>
    <w:rsid w:val="00D456F4"/>
    <w:rsid w:val="00D462C3"/>
    <w:rsid w:val="00D46DD7"/>
    <w:rsid w:val="00D502C0"/>
    <w:rsid w:val="00D51168"/>
    <w:rsid w:val="00D5548C"/>
    <w:rsid w:val="00D5573A"/>
    <w:rsid w:val="00D6017E"/>
    <w:rsid w:val="00D63130"/>
    <w:rsid w:val="00D66079"/>
    <w:rsid w:val="00D729EB"/>
    <w:rsid w:val="00D74CF9"/>
    <w:rsid w:val="00D778FB"/>
    <w:rsid w:val="00D77CD2"/>
    <w:rsid w:val="00D821E6"/>
    <w:rsid w:val="00D83B86"/>
    <w:rsid w:val="00D8545F"/>
    <w:rsid w:val="00D86270"/>
    <w:rsid w:val="00D86E6C"/>
    <w:rsid w:val="00D87353"/>
    <w:rsid w:val="00D9046C"/>
    <w:rsid w:val="00D918E5"/>
    <w:rsid w:val="00D918F6"/>
    <w:rsid w:val="00D94C34"/>
    <w:rsid w:val="00DA28D6"/>
    <w:rsid w:val="00DA4B35"/>
    <w:rsid w:val="00DA530B"/>
    <w:rsid w:val="00DA5F7F"/>
    <w:rsid w:val="00DA6A5F"/>
    <w:rsid w:val="00DB08C4"/>
    <w:rsid w:val="00DB1387"/>
    <w:rsid w:val="00DB1D90"/>
    <w:rsid w:val="00DB25B2"/>
    <w:rsid w:val="00DB3ABA"/>
    <w:rsid w:val="00DB400F"/>
    <w:rsid w:val="00DC0637"/>
    <w:rsid w:val="00DC250F"/>
    <w:rsid w:val="00DC2B4F"/>
    <w:rsid w:val="00DC47B4"/>
    <w:rsid w:val="00DC7A30"/>
    <w:rsid w:val="00DD0436"/>
    <w:rsid w:val="00DD21E3"/>
    <w:rsid w:val="00DD2E01"/>
    <w:rsid w:val="00DD2E27"/>
    <w:rsid w:val="00DD43E4"/>
    <w:rsid w:val="00DD4CA0"/>
    <w:rsid w:val="00DD5057"/>
    <w:rsid w:val="00DD523C"/>
    <w:rsid w:val="00DD5347"/>
    <w:rsid w:val="00DD6525"/>
    <w:rsid w:val="00DD7022"/>
    <w:rsid w:val="00DD71C0"/>
    <w:rsid w:val="00DD769C"/>
    <w:rsid w:val="00DE0724"/>
    <w:rsid w:val="00DE472B"/>
    <w:rsid w:val="00DE5138"/>
    <w:rsid w:val="00DE5231"/>
    <w:rsid w:val="00DF24C9"/>
    <w:rsid w:val="00DF24D8"/>
    <w:rsid w:val="00DF2872"/>
    <w:rsid w:val="00E0090D"/>
    <w:rsid w:val="00E05700"/>
    <w:rsid w:val="00E10388"/>
    <w:rsid w:val="00E12BB6"/>
    <w:rsid w:val="00E1495C"/>
    <w:rsid w:val="00E2001F"/>
    <w:rsid w:val="00E32827"/>
    <w:rsid w:val="00E35304"/>
    <w:rsid w:val="00E36912"/>
    <w:rsid w:val="00E41593"/>
    <w:rsid w:val="00E43A9B"/>
    <w:rsid w:val="00E43F0F"/>
    <w:rsid w:val="00E4506E"/>
    <w:rsid w:val="00E455AB"/>
    <w:rsid w:val="00E4564D"/>
    <w:rsid w:val="00E45CCE"/>
    <w:rsid w:val="00E479FA"/>
    <w:rsid w:val="00E47E9B"/>
    <w:rsid w:val="00E504D9"/>
    <w:rsid w:val="00E54CD7"/>
    <w:rsid w:val="00E56312"/>
    <w:rsid w:val="00E57018"/>
    <w:rsid w:val="00E57622"/>
    <w:rsid w:val="00E611F6"/>
    <w:rsid w:val="00E61B85"/>
    <w:rsid w:val="00E628B3"/>
    <w:rsid w:val="00E63CE0"/>
    <w:rsid w:val="00E678C7"/>
    <w:rsid w:val="00E721EC"/>
    <w:rsid w:val="00E726A3"/>
    <w:rsid w:val="00E75332"/>
    <w:rsid w:val="00E80760"/>
    <w:rsid w:val="00E80DDB"/>
    <w:rsid w:val="00E81268"/>
    <w:rsid w:val="00E82549"/>
    <w:rsid w:val="00E8303B"/>
    <w:rsid w:val="00E8422D"/>
    <w:rsid w:val="00E84472"/>
    <w:rsid w:val="00E85B44"/>
    <w:rsid w:val="00E866D7"/>
    <w:rsid w:val="00E919BD"/>
    <w:rsid w:val="00E91A61"/>
    <w:rsid w:val="00E92A4F"/>
    <w:rsid w:val="00E93AF9"/>
    <w:rsid w:val="00E9414C"/>
    <w:rsid w:val="00E959AD"/>
    <w:rsid w:val="00E96A39"/>
    <w:rsid w:val="00EA2CFD"/>
    <w:rsid w:val="00EA3A26"/>
    <w:rsid w:val="00EA5322"/>
    <w:rsid w:val="00EA53DD"/>
    <w:rsid w:val="00EA6473"/>
    <w:rsid w:val="00EA6585"/>
    <w:rsid w:val="00EA6C3A"/>
    <w:rsid w:val="00EB1FE3"/>
    <w:rsid w:val="00EB3790"/>
    <w:rsid w:val="00EB38CF"/>
    <w:rsid w:val="00EB5BEB"/>
    <w:rsid w:val="00EC0A23"/>
    <w:rsid w:val="00EC26DA"/>
    <w:rsid w:val="00EC42D6"/>
    <w:rsid w:val="00EC583E"/>
    <w:rsid w:val="00EC5F08"/>
    <w:rsid w:val="00ED013F"/>
    <w:rsid w:val="00ED06B5"/>
    <w:rsid w:val="00ED4075"/>
    <w:rsid w:val="00ED40B3"/>
    <w:rsid w:val="00ED5E97"/>
    <w:rsid w:val="00EE15A9"/>
    <w:rsid w:val="00EE2FC4"/>
    <w:rsid w:val="00EE3EE0"/>
    <w:rsid w:val="00EE6DB4"/>
    <w:rsid w:val="00EE707C"/>
    <w:rsid w:val="00EE7B6A"/>
    <w:rsid w:val="00EF1194"/>
    <w:rsid w:val="00EF1E9A"/>
    <w:rsid w:val="00EF2DB6"/>
    <w:rsid w:val="00EF2FE6"/>
    <w:rsid w:val="00EF427E"/>
    <w:rsid w:val="00EF6663"/>
    <w:rsid w:val="00EF6B12"/>
    <w:rsid w:val="00F00421"/>
    <w:rsid w:val="00F01FDC"/>
    <w:rsid w:val="00F039CE"/>
    <w:rsid w:val="00F046EA"/>
    <w:rsid w:val="00F10981"/>
    <w:rsid w:val="00F12DAB"/>
    <w:rsid w:val="00F1427F"/>
    <w:rsid w:val="00F142BE"/>
    <w:rsid w:val="00F22F30"/>
    <w:rsid w:val="00F2565F"/>
    <w:rsid w:val="00F26B07"/>
    <w:rsid w:val="00F301F9"/>
    <w:rsid w:val="00F3028C"/>
    <w:rsid w:val="00F34B1D"/>
    <w:rsid w:val="00F365E4"/>
    <w:rsid w:val="00F3743B"/>
    <w:rsid w:val="00F37EA3"/>
    <w:rsid w:val="00F37F69"/>
    <w:rsid w:val="00F404EC"/>
    <w:rsid w:val="00F40AE6"/>
    <w:rsid w:val="00F417C4"/>
    <w:rsid w:val="00F41F6E"/>
    <w:rsid w:val="00F429E7"/>
    <w:rsid w:val="00F42C54"/>
    <w:rsid w:val="00F477DD"/>
    <w:rsid w:val="00F52905"/>
    <w:rsid w:val="00F53E7D"/>
    <w:rsid w:val="00F540CC"/>
    <w:rsid w:val="00F54F5A"/>
    <w:rsid w:val="00F552D7"/>
    <w:rsid w:val="00F55B00"/>
    <w:rsid w:val="00F63CF6"/>
    <w:rsid w:val="00F63D28"/>
    <w:rsid w:val="00F6620E"/>
    <w:rsid w:val="00F66A73"/>
    <w:rsid w:val="00F673A5"/>
    <w:rsid w:val="00F6741B"/>
    <w:rsid w:val="00F67640"/>
    <w:rsid w:val="00F7124C"/>
    <w:rsid w:val="00F716E0"/>
    <w:rsid w:val="00F750D9"/>
    <w:rsid w:val="00F76545"/>
    <w:rsid w:val="00F80D38"/>
    <w:rsid w:val="00F8204E"/>
    <w:rsid w:val="00F83276"/>
    <w:rsid w:val="00F84068"/>
    <w:rsid w:val="00F84101"/>
    <w:rsid w:val="00F87DC9"/>
    <w:rsid w:val="00F9211A"/>
    <w:rsid w:val="00F9379A"/>
    <w:rsid w:val="00F94901"/>
    <w:rsid w:val="00FA0695"/>
    <w:rsid w:val="00FA1D08"/>
    <w:rsid w:val="00FA2EA8"/>
    <w:rsid w:val="00FA3587"/>
    <w:rsid w:val="00FA571B"/>
    <w:rsid w:val="00FA754E"/>
    <w:rsid w:val="00FB1BE4"/>
    <w:rsid w:val="00FB50FA"/>
    <w:rsid w:val="00FB63F1"/>
    <w:rsid w:val="00FB6553"/>
    <w:rsid w:val="00FC0C3E"/>
    <w:rsid w:val="00FC1260"/>
    <w:rsid w:val="00FC12BF"/>
    <w:rsid w:val="00FC2722"/>
    <w:rsid w:val="00FC33B8"/>
    <w:rsid w:val="00FC5D55"/>
    <w:rsid w:val="00FC7317"/>
    <w:rsid w:val="00FD04B4"/>
    <w:rsid w:val="00FD0522"/>
    <w:rsid w:val="00FD116B"/>
    <w:rsid w:val="00FD1903"/>
    <w:rsid w:val="00FD30C2"/>
    <w:rsid w:val="00FD4068"/>
    <w:rsid w:val="00FD47F0"/>
    <w:rsid w:val="00FD6B0A"/>
    <w:rsid w:val="00FE3F7B"/>
    <w:rsid w:val="00FE76B0"/>
    <w:rsid w:val="00FE79EE"/>
    <w:rsid w:val="00FF19D1"/>
    <w:rsid w:val="00FF2C5C"/>
    <w:rsid w:val="00FF49BE"/>
    <w:rsid w:val="00FF524B"/>
    <w:rsid w:val="00FF68FC"/>
    <w:rsid w:val="00FF6D93"/>
    <w:rsid w:val="01AFD898"/>
    <w:rsid w:val="01F6E511"/>
    <w:rsid w:val="02C9F71D"/>
    <w:rsid w:val="034A408C"/>
    <w:rsid w:val="03A26C4B"/>
    <w:rsid w:val="03BDBA10"/>
    <w:rsid w:val="0515926C"/>
    <w:rsid w:val="05457882"/>
    <w:rsid w:val="05F43557"/>
    <w:rsid w:val="05F8D508"/>
    <w:rsid w:val="060D1824"/>
    <w:rsid w:val="061B5A7F"/>
    <w:rsid w:val="06766F31"/>
    <w:rsid w:val="06B64B3A"/>
    <w:rsid w:val="0704B37E"/>
    <w:rsid w:val="07217A9A"/>
    <w:rsid w:val="07308667"/>
    <w:rsid w:val="073F0B1E"/>
    <w:rsid w:val="07ED1811"/>
    <w:rsid w:val="0837B470"/>
    <w:rsid w:val="0889DFAC"/>
    <w:rsid w:val="088A1250"/>
    <w:rsid w:val="08FA94B6"/>
    <w:rsid w:val="0A2EF7B0"/>
    <w:rsid w:val="0A3D611A"/>
    <w:rsid w:val="0AA7BAFD"/>
    <w:rsid w:val="0ACD6CB2"/>
    <w:rsid w:val="0C30D893"/>
    <w:rsid w:val="0C6ED5F0"/>
    <w:rsid w:val="0D30F992"/>
    <w:rsid w:val="0D5BBBDA"/>
    <w:rsid w:val="0D63B2E4"/>
    <w:rsid w:val="0D69EACE"/>
    <w:rsid w:val="0D78717B"/>
    <w:rsid w:val="0D995381"/>
    <w:rsid w:val="0E202B25"/>
    <w:rsid w:val="0E753343"/>
    <w:rsid w:val="0EAF4230"/>
    <w:rsid w:val="0F6734CF"/>
    <w:rsid w:val="0FE37F4D"/>
    <w:rsid w:val="104842CD"/>
    <w:rsid w:val="1087CD22"/>
    <w:rsid w:val="10A525CF"/>
    <w:rsid w:val="10D2E31F"/>
    <w:rsid w:val="1137C00E"/>
    <w:rsid w:val="1172B3D9"/>
    <w:rsid w:val="11838247"/>
    <w:rsid w:val="121EE51C"/>
    <w:rsid w:val="12517244"/>
    <w:rsid w:val="125CCEF9"/>
    <w:rsid w:val="12A07D2F"/>
    <w:rsid w:val="12DAEAB4"/>
    <w:rsid w:val="139CF12A"/>
    <w:rsid w:val="13AB789E"/>
    <w:rsid w:val="13BAE766"/>
    <w:rsid w:val="13BF6DE4"/>
    <w:rsid w:val="1649EDB6"/>
    <w:rsid w:val="16EFED81"/>
    <w:rsid w:val="1728FC46"/>
    <w:rsid w:val="175C0DA2"/>
    <w:rsid w:val="17741FA3"/>
    <w:rsid w:val="188E26A0"/>
    <w:rsid w:val="18B28788"/>
    <w:rsid w:val="18C4CCA7"/>
    <w:rsid w:val="18F84174"/>
    <w:rsid w:val="19650ECE"/>
    <w:rsid w:val="19A0CB75"/>
    <w:rsid w:val="1A29F701"/>
    <w:rsid w:val="1A2EAF68"/>
    <w:rsid w:val="1A4652F5"/>
    <w:rsid w:val="1ADBDEB9"/>
    <w:rsid w:val="1B0F4E8F"/>
    <w:rsid w:val="1BA81B8A"/>
    <w:rsid w:val="1BDD51BA"/>
    <w:rsid w:val="1C64DA18"/>
    <w:rsid w:val="1CF509D1"/>
    <w:rsid w:val="1D7056B1"/>
    <w:rsid w:val="1E03F5FA"/>
    <w:rsid w:val="1E164B1E"/>
    <w:rsid w:val="1E17EA9F"/>
    <w:rsid w:val="1E87E7DE"/>
    <w:rsid w:val="1EE9427C"/>
    <w:rsid w:val="1F32532C"/>
    <w:rsid w:val="2036F051"/>
    <w:rsid w:val="20497640"/>
    <w:rsid w:val="20BF54AC"/>
    <w:rsid w:val="21350DD1"/>
    <w:rsid w:val="215AD6BD"/>
    <w:rsid w:val="21BC6390"/>
    <w:rsid w:val="229C25FB"/>
    <w:rsid w:val="22A47278"/>
    <w:rsid w:val="2309EB8C"/>
    <w:rsid w:val="23155E26"/>
    <w:rsid w:val="23418BB9"/>
    <w:rsid w:val="2376FF49"/>
    <w:rsid w:val="23BED240"/>
    <w:rsid w:val="23E78D2C"/>
    <w:rsid w:val="254EC781"/>
    <w:rsid w:val="267B37D4"/>
    <w:rsid w:val="27772AA6"/>
    <w:rsid w:val="277C9C54"/>
    <w:rsid w:val="280AFBEA"/>
    <w:rsid w:val="2810814F"/>
    <w:rsid w:val="2815A1C7"/>
    <w:rsid w:val="28803822"/>
    <w:rsid w:val="28F755F1"/>
    <w:rsid w:val="2901CFE0"/>
    <w:rsid w:val="290AECAD"/>
    <w:rsid w:val="2A480851"/>
    <w:rsid w:val="2A4E6039"/>
    <w:rsid w:val="2B14299C"/>
    <w:rsid w:val="2B64380A"/>
    <w:rsid w:val="2B8BEA10"/>
    <w:rsid w:val="2BDC64F2"/>
    <w:rsid w:val="2C8449D0"/>
    <w:rsid w:val="2CAFF9FD"/>
    <w:rsid w:val="2CCDC19D"/>
    <w:rsid w:val="2D885C72"/>
    <w:rsid w:val="2DF372D8"/>
    <w:rsid w:val="2E3E307B"/>
    <w:rsid w:val="2ED66381"/>
    <w:rsid w:val="2F385E70"/>
    <w:rsid w:val="2FCAA7EF"/>
    <w:rsid w:val="30ACE7D7"/>
    <w:rsid w:val="30C55F80"/>
    <w:rsid w:val="30D42ED1"/>
    <w:rsid w:val="3111B120"/>
    <w:rsid w:val="31D74833"/>
    <w:rsid w:val="31EFEA8F"/>
    <w:rsid w:val="32D7CAFC"/>
    <w:rsid w:val="332F5D82"/>
    <w:rsid w:val="3372FCF1"/>
    <w:rsid w:val="33A60CB8"/>
    <w:rsid w:val="33CD32BD"/>
    <w:rsid w:val="33DAA666"/>
    <w:rsid w:val="3401E202"/>
    <w:rsid w:val="34D05695"/>
    <w:rsid w:val="34DE9853"/>
    <w:rsid w:val="3515930F"/>
    <w:rsid w:val="3528B4BC"/>
    <w:rsid w:val="35A9D9A4"/>
    <w:rsid w:val="36006DFC"/>
    <w:rsid w:val="371EEF09"/>
    <w:rsid w:val="37FC0005"/>
    <w:rsid w:val="39C55488"/>
    <w:rsid w:val="3B663361"/>
    <w:rsid w:val="3BCCAE77"/>
    <w:rsid w:val="3CFA8676"/>
    <w:rsid w:val="3D007277"/>
    <w:rsid w:val="3D870F88"/>
    <w:rsid w:val="3D8CD225"/>
    <w:rsid w:val="3D8D4ADC"/>
    <w:rsid w:val="3DB18F88"/>
    <w:rsid w:val="3E691BEC"/>
    <w:rsid w:val="3E84FB35"/>
    <w:rsid w:val="3EA79733"/>
    <w:rsid w:val="3EBA17BF"/>
    <w:rsid w:val="3F1E1416"/>
    <w:rsid w:val="3FAC8AFC"/>
    <w:rsid w:val="3FB5F1E4"/>
    <w:rsid w:val="4004EC4D"/>
    <w:rsid w:val="40200CF9"/>
    <w:rsid w:val="412EB348"/>
    <w:rsid w:val="41AE601D"/>
    <w:rsid w:val="41B848C5"/>
    <w:rsid w:val="423CB1BF"/>
    <w:rsid w:val="424F1878"/>
    <w:rsid w:val="42EAFA74"/>
    <w:rsid w:val="434218E2"/>
    <w:rsid w:val="436FF85E"/>
    <w:rsid w:val="445C6E96"/>
    <w:rsid w:val="447E5E49"/>
    <w:rsid w:val="4508B823"/>
    <w:rsid w:val="451D92D4"/>
    <w:rsid w:val="45FBD8B0"/>
    <w:rsid w:val="479C39CD"/>
    <w:rsid w:val="480D08DA"/>
    <w:rsid w:val="480D9842"/>
    <w:rsid w:val="48C76F20"/>
    <w:rsid w:val="490FC513"/>
    <w:rsid w:val="4B04FF51"/>
    <w:rsid w:val="4BC0F959"/>
    <w:rsid w:val="4CA97085"/>
    <w:rsid w:val="4CF8D087"/>
    <w:rsid w:val="4CFB1A57"/>
    <w:rsid w:val="4D1AFFB1"/>
    <w:rsid w:val="4D9530BA"/>
    <w:rsid w:val="4EA6A28C"/>
    <w:rsid w:val="4F054DCF"/>
    <w:rsid w:val="4F17D4AB"/>
    <w:rsid w:val="4FCBD442"/>
    <w:rsid w:val="4FE6511F"/>
    <w:rsid w:val="50093341"/>
    <w:rsid w:val="5077AFAA"/>
    <w:rsid w:val="514972FE"/>
    <w:rsid w:val="514C248A"/>
    <w:rsid w:val="515C25C3"/>
    <w:rsid w:val="515E9EF7"/>
    <w:rsid w:val="51C5F544"/>
    <w:rsid w:val="51CC135C"/>
    <w:rsid w:val="53F92018"/>
    <w:rsid w:val="544691A8"/>
    <w:rsid w:val="54608E4E"/>
    <w:rsid w:val="546BC6B6"/>
    <w:rsid w:val="549BCCD9"/>
    <w:rsid w:val="54A769DE"/>
    <w:rsid w:val="552D77EC"/>
    <w:rsid w:val="55C91BD0"/>
    <w:rsid w:val="567AFB08"/>
    <w:rsid w:val="58C315C4"/>
    <w:rsid w:val="58EB9FE9"/>
    <w:rsid w:val="59213076"/>
    <w:rsid w:val="59551EF1"/>
    <w:rsid w:val="5A17C3FC"/>
    <w:rsid w:val="5A287917"/>
    <w:rsid w:val="5A302B36"/>
    <w:rsid w:val="5A5AC040"/>
    <w:rsid w:val="5A7EE47F"/>
    <w:rsid w:val="5AA3D87A"/>
    <w:rsid w:val="5AFBE643"/>
    <w:rsid w:val="5B6299CD"/>
    <w:rsid w:val="5C125E11"/>
    <w:rsid w:val="5C41E909"/>
    <w:rsid w:val="5C733232"/>
    <w:rsid w:val="5C8A7796"/>
    <w:rsid w:val="5D1BC397"/>
    <w:rsid w:val="5D829B1A"/>
    <w:rsid w:val="5E106444"/>
    <w:rsid w:val="5E4CADEB"/>
    <w:rsid w:val="5E8B7430"/>
    <w:rsid w:val="5F31F0EF"/>
    <w:rsid w:val="5F449537"/>
    <w:rsid w:val="5F4A9E2C"/>
    <w:rsid w:val="5F51F619"/>
    <w:rsid w:val="5FB67CB2"/>
    <w:rsid w:val="5FDA4CAB"/>
    <w:rsid w:val="602BFCF8"/>
    <w:rsid w:val="609EC1F0"/>
    <w:rsid w:val="61FF29EC"/>
    <w:rsid w:val="6264E7D1"/>
    <w:rsid w:val="62B7180B"/>
    <w:rsid w:val="634055B3"/>
    <w:rsid w:val="63577193"/>
    <w:rsid w:val="63639DBA"/>
    <w:rsid w:val="63D9DD12"/>
    <w:rsid w:val="63EC5D9E"/>
    <w:rsid w:val="6435AC3D"/>
    <w:rsid w:val="64369518"/>
    <w:rsid w:val="64647D60"/>
    <w:rsid w:val="646F6238"/>
    <w:rsid w:val="653EB959"/>
    <w:rsid w:val="66ED43C2"/>
    <w:rsid w:val="67C5C392"/>
    <w:rsid w:val="67C8D52C"/>
    <w:rsid w:val="67CF26CF"/>
    <w:rsid w:val="68BFCEC1"/>
    <w:rsid w:val="69018804"/>
    <w:rsid w:val="6AD5BEEF"/>
    <w:rsid w:val="6AEEE74C"/>
    <w:rsid w:val="6AEFC33C"/>
    <w:rsid w:val="6B24D028"/>
    <w:rsid w:val="6B4C4B60"/>
    <w:rsid w:val="6B7B8345"/>
    <w:rsid w:val="6B8C9EAB"/>
    <w:rsid w:val="6C13024D"/>
    <w:rsid w:val="6C645612"/>
    <w:rsid w:val="6C6E86C0"/>
    <w:rsid w:val="6C718F50"/>
    <w:rsid w:val="6C8BA498"/>
    <w:rsid w:val="6D7E2B29"/>
    <w:rsid w:val="6DBC1A75"/>
    <w:rsid w:val="6DFB1C1C"/>
    <w:rsid w:val="6E7634BB"/>
    <w:rsid w:val="6E9C821A"/>
    <w:rsid w:val="6EAFADA5"/>
    <w:rsid w:val="6F10BEFD"/>
    <w:rsid w:val="6FDB621F"/>
    <w:rsid w:val="7051E92D"/>
    <w:rsid w:val="707A6580"/>
    <w:rsid w:val="70E28F93"/>
    <w:rsid w:val="7167D155"/>
    <w:rsid w:val="71DC69F3"/>
    <w:rsid w:val="72009C7A"/>
    <w:rsid w:val="7206188C"/>
    <w:rsid w:val="721974A0"/>
    <w:rsid w:val="7247E959"/>
    <w:rsid w:val="72AE1B62"/>
    <w:rsid w:val="7429B502"/>
    <w:rsid w:val="748139B5"/>
    <w:rsid w:val="7529B848"/>
    <w:rsid w:val="76040A4F"/>
    <w:rsid w:val="763443CE"/>
    <w:rsid w:val="764AA3A3"/>
    <w:rsid w:val="76AF2787"/>
    <w:rsid w:val="76C03B20"/>
    <w:rsid w:val="77174862"/>
    <w:rsid w:val="77E4CBE2"/>
    <w:rsid w:val="781C7D6A"/>
    <w:rsid w:val="787872D3"/>
    <w:rsid w:val="78C1A0FF"/>
    <w:rsid w:val="7937F3F0"/>
    <w:rsid w:val="79508186"/>
    <w:rsid w:val="7972E33A"/>
    <w:rsid w:val="79C6290A"/>
    <w:rsid w:val="7A639DF7"/>
    <w:rsid w:val="7B3C4623"/>
    <w:rsid w:val="7BA02326"/>
    <w:rsid w:val="7CC0EB48"/>
    <w:rsid w:val="7D181851"/>
    <w:rsid w:val="7D9DA940"/>
    <w:rsid w:val="7DBEEE95"/>
    <w:rsid w:val="7DE26051"/>
    <w:rsid w:val="7DF18008"/>
    <w:rsid w:val="7E5C79A3"/>
    <w:rsid w:val="7ECB7337"/>
    <w:rsid w:val="7F61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0769"/>
  <w15:chartTrackingRefBased/>
  <w15:docId w15:val="{DCF520C0-5D74-2247-B241-F703DAB9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4D"/>
    <w:rPr>
      <w:sz w:val="22"/>
      <w:szCs w:val="22"/>
    </w:rPr>
  </w:style>
  <w:style w:type="paragraph" w:styleId="Heading1">
    <w:name w:val="heading 1"/>
    <w:basedOn w:val="Normal"/>
    <w:next w:val="Normal"/>
    <w:link w:val="Heading1Char"/>
    <w:uiPriority w:val="9"/>
    <w:qFormat/>
    <w:rsid w:val="0020741F"/>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rPr>
  </w:style>
  <w:style w:type="paragraph" w:styleId="Heading2">
    <w:name w:val="heading 2"/>
    <w:basedOn w:val="Normal"/>
    <w:next w:val="Normal"/>
    <w:link w:val="Heading2Char"/>
    <w:uiPriority w:val="9"/>
    <w:unhideWhenUsed/>
    <w:qFormat/>
    <w:rsid w:val="0020741F"/>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0741F"/>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unhideWhenUsed/>
    <w:qFormat/>
    <w:rsid w:val="0020741F"/>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unhideWhenUsed/>
    <w:qFormat/>
    <w:rsid w:val="0020741F"/>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20741F"/>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20741F"/>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20741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0741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948"/>
    <w:pPr>
      <w:ind w:left="720"/>
      <w:contextualSpacing/>
    </w:pPr>
  </w:style>
  <w:style w:type="paragraph" w:styleId="Header">
    <w:name w:val="header"/>
    <w:basedOn w:val="Normal"/>
    <w:link w:val="HeaderChar"/>
    <w:uiPriority w:val="99"/>
    <w:unhideWhenUsed/>
    <w:rsid w:val="00650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404"/>
  </w:style>
  <w:style w:type="paragraph" w:styleId="Footer">
    <w:name w:val="footer"/>
    <w:basedOn w:val="Normal"/>
    <w:link w:val="FooterChar"/>
    <w:uiPriority w:val="99"/>
    <w:unhideWhenUsed/>
    <w:rsid w:val="00650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404"/>
  </w:style>
  <w:style w:type="character" w:styleId="Hyperlink">
    <w:name w:val="Hyperlink"/>
    <w:basedOn w:val="DefaultParagraphFont"/>
    <w:uiPriority w:val="99"/>
    <w:unhideWhenUsed/>
    <w:rsid w:val="00E4564D"/>
    <w:rPr>
      <w:color w:val="2370CD" w:themeColor="hyperlink"/>
      <w:u w:val="single"/>
    </w:rPr>
  </w:style>
  <w:style w:type="character" w:styleId="UnresolvedMention">
    <w:name w:val="Unresolved Mention"/>
    <w:basedOn w:val="DefaultParagraphFont"/>
    <w:uiPriority w:val="99"/>
    <w:semiHidden/>
    <w:unhideWhenUsed/>
    <w:rsid w:val="00E4564D"/>
    <w:rPr>
      <w:color w:val="605E5C"/>
      <w:shd w:val="clear" w:color="auto" w:fill="E1DFDD"/>
    </w:rPr>
  </w:style>
  <w:style w:type="character" w:customStyle="1" w:styleId="Heading1Char">
    <w:name w:val="Heading 1 Char"/>
    <w:basedOn w:val="DefaultParagraphFont"/>
    <w:link w:val="Heading1"/>
    <w:uiPriority w:val="9"/>
    <w:rsid w:val="0020741F"/>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rsid w:val="0020741F"/>
    <w:rPr>
      <w:caps/>
      <w:spacing w:val="15"/>
      <w:shd w:val="clear" w:color="auto" w:fill="DCEFF4" w:themeFill="accent1" w:themeFillTint="33"/>
    </w:rPr>
  </w:style>
  <w:style w:type="character" w:customStyle="1" w:styleId="Heading3Char">
    <w:name w:val="Heading 3 Char"/>
    <w:basedOn w:val="DefaultParagraphFont"/>
    <w:link w:val="Heading3"/>
    <w:uiPriority w:val="9"/>
    <w:rsid w:val="0020741F"/>
    <w:rPr>
      <w:caps/>
      <w:color w:val="215D6A" w:themeColor="accent1" w:themeShade="7F"/>
      <w:spacing w:val="15"/>
    </w:rPr>
  </w:style>
  <w:style w:type="character" w:customStyle="1" w:styleId="Heading4Char">
    <w:name w:val="Heading 4 Char"/>
    <w:basedOn w:val="DefaultParagraphFont"/>
    <w:link w:val="Heading4"/>
    <w:uiPriority w:val="9"/>
    <w:rsid w:val="0020741F"/>
    <w:rPr>
      <w:caps/>
      <w:color w:val="328D9F" w:themeColor="accent1" w:themeShade="BF"/>
      <w:spacing w:val="10"/>
    </w:rPr>
  </w:style>
  <w:style w:type="character" w:customStyle="1" w:styleId="Heading5Char">
    <w:name w:val="Heading 5 Char"/>
    <w:basedOn w:val="DefaultParagraphFont"/>
    <w:link w:val="Heading5"/>
    <w:uiPriority w:val="9"/>
    <w:rsid w:val="0020741F"/>
    <w:rPr>
      <w:caps/>
      <w:color w:val="328D9F" w:themeColor="accent1" w:themeShade="BF"/>
      <w:spacing w:val="10"/>
    </w:rPr>
  </w:style>
  <w:style w:type="character" w:customStyle="1" w:styleId="Heading6Char">
    <w:name w:val="Heading 6 Char"/>
    <w:basedOn w:val="DefaultParagraphFont"/>
    <w:link w:val="Heading6"/>
    <w:uiPriority w:val="9"/>
    <w:semiHidden/>
    <w:rsid w:val="0020741F"/>
    <w:rPr>
      <w:caps/>
      <w:color w:val="328D9F" w:themeColor="accent1" w:themeShade="BF"/>
      <w:spacing w:val="10"/>
    </w:rPr>
  </w:style>
  <w:style w:type="character" w:customStyle="1" w:styleId="Heading7Char">
    <w:name w:val="Heading 7 Char"/>
    <w:basedOn w:val="DefaultParagraphFont"/>
    <w:link w:val="Heading7"/>
    <w:uiPriority w:val="9"/>
    <w:semiHidden/>
    <w:rsid w:val="0020741F"/>
    <w:rPr>
      <w:caps/>
      <w:color w:val="328D9F" w:themeColor="accent1" w:themeShade="BF"/>
      <w:spacing w:val="10"/>
    </w:rPr>
  </w:style>
  <w:style w:type="character" w:customStyle="1" w:styleId="Heading8Char">
    <w:name w:val="Heading 8 Char"/>
    <w:basedOn w:val="DefaultParagraphFont"/>
    <w:link w:val="Heading8"/>
    <w:uiPriority w:val="9"/>
    <w:semiHidden/>
    <w:rsid w:val="0020741F"/>
    <w:rPr>
      <w:caps/>
      <w:spacing w:val="10"/>
      <w:sz w:val="18"/>
      <w:szCs w:val="18"/>
    </w:rPr>
  </w:style>
  <w:style w:type="character" w:customStyle="1" w:styleId="Heading9Char">
    <w:name w:val="Heading 9 Char"/>
    <w:basedOn w:val="DefaultParagraphFont"/>
    <w:link w:val="Heading9"/>
    <w:uiPriority w:val="9"/>
    <w:semiHidden/>
    <w:rsid w:val="0020741F"/>
    <w:rPr>
      <w:i/>
      <w:iCs/>
      <w:caps/>
      <w:spacing w:val="10"/>
      <w:sz w:val="18"/>
      <w:szCs w:val="18"/>
    </w:rPr>
  </w:style>
  <w:style w:type="paragraph" w:styleId="Caption">
    <w:name w:val="caption"/>
    <w:basedOn w:val="Normal"/>
    <w:next w:val="Normal"/>
    <w:uiPriority w:val="35"/>
    <w:unhideWhenUsed/>
    <w:qFormat/>
    <w:rsid w:val="0020741F"/>
    <w:rPr>
      <w:b/>
      <w:bCs/>
      <w:color w:val="328D9F" w:themeColor="accent1" w:themeShade="BF"/>
      <w:sz w:val="16"/>
      <w:szCs w:val="16"/>
    </w:rPr>
  </w:style>
  <w:style w:type="paragraph" w:styleId="Title">
    <w:name w:val="Title"/>
    <w:basedOn w:val="Normal"/>
    <w:next w:val="Normal"/>
    <w:link w:val="TitleChar"/>
    <w:uiPriority w:val="10"/>
    <w:qFormat/>
    <w:rsid w:val="0020741F"/>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20741F"/>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20741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0741F"/>
    <w:rPr>
      <w:caps/>
      <w:color w:val="595959" w:themeColor="text1" w:themeTint="A6"/>
      <w:spacing w:val="10"/>
      <w:sz w:val="21"/>
      <w:szCs w:val="21"/>
    </w:rPr>
  </w:style>
  <w:style w:type="character" w:styleId="Strong">
    <w:name w:val="Strong"/>
    <w:uiPriority w:val="22"/>
    <w:qFormat/>
    <w:rsid w:val="0020741F"/>
    <w:rPr>
      <w:b/>
      <w:bCs/>
    </w:rPr>
  </w:style>
  <w:style w:type="character" w:styleId="Emphasis">
    <w:name w:val="Emphasis"/>
    <w:uiPriority w:val="20"/>
    <w:qFormat/>
    <w:rsid w:val="0020741F"/>
    <w:rPr>
      <w:caps/>
      <w:color w:val="215D6A" w:themeColor="accent1" w:themeShade="7F"/>
      <w:spacing w:val="5"/>
    </w:rPr>
  </w:style>
  <w:style w:type="paragraph" w:styleId="NoSpacing">
    <w:name w:val="No Spacing"/>
    <w:uiPriority w:val="1"/>
    <w:qFormat/>
    <w:rsid w:val="0020741F"/>
    <w:pPr>
      <w:spacing w:after="0" w:line="240" w:lineRule="auto"/>
    </w:pPr>
  </w:style>
  <w:style w:type="paragraph" w:styleId="Quote">
    <w:name w:val="Quote"/>
    <w:basedOn w:val="Normal"/>
    <w:next w:val="Normal"/>
    <w:link w:val="QuoteChar"/>
    <w:uiPriority w:val="29"/>
    <w:qFormat/>
    <w:rsid w:val="0020741F"/>
    <w:rPr>
      <w:i/>
      <w:iCs/>
      <w:sz w:val="24"/>
      <w:szCs w:val="24"/>
    </w:rPr>
  </w:style>
  <w:style w:type="character" w:customStyle="1" w:styleId="QuoteChar">
    <w:name w:val="Quote Char"/>
    <w:basedOn w:val="DefaultParagraphFont"/>
    <w:link w:val="Quote"/>
    <w:uiPriority w:val="29"/>
    <w:rsid w:val="0020741F"/>
    <w:rPr>
      <w:i/>
      <w:iCs/>
      <w:sz w:val="24"/>
      <w:szCs w:val="24"/>
    </w:rPr>
  </w:style>
  <w:style w:type="paragraph" w:styleId="IntenseQuote">
    <w:name w:val="Intense Quote"/>
    <w:basedOn w:val="Normal"/>
    <w:next w:val="Normal"/>
    <w:link w:val="IntenseQuoteChar"/>
    <w:uiPriority w:val="30"/>
    <w:qFormat/>
    <w:rsid w:val="0020741F"/>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20741F"/>
    <w:rPr>
      <w:color w:val="50B4C8" w:themeColor="accent1"/>
      <w:sz w:val="24"/>
      <w:szCs w:val="24"/>
    </w:rPr>
  </w:style>
  <w:style w:type="character" w:styleId="SubtleEmphasis">
    <w:name w:val="Subtle Emphasis"/>
    <w:uiPriority w:val="19"/>
    <w:qFormat/>
    <w:rsid w:val="0020741F"/>
    <w:rPr>
      <w:i/>
      <w:iCs/>
      <w:color w:val="215D6A" w:themeColor="accent1" w:themeShade="7F"/>
    </w:rPr>
  </w:style>
  <w:style w:type="character" w:styleId="IntenseEmphasis">
    <w:name w:val="Intense Emphasis"/>
    <w:uiPriority w:val="21"/>
    <w:qFormat/>
    <w:rsid w:val="0020741F"/>
    <w:rPr>
      <w:b/>
      <w:bCs/>
      <w:caps/>
      <w:color w:val="215D6A" w:themeColor="accent1" w:themeShade="7F"/>
      <w:spacing w:val="10"/>
    </w:rPr>
  </w:style>
  <w:style w:type="character" w:styleId="SubtleReference">
    <w:name w:val="Subtle Reference"/>
    <w:uiPriority w:val="31"/>
    <w:qFormat/>
    <w:rsid w:val="0020741F"/>
    <w:rPr>
      <w:b/>
      <w:bCs/>
      <w:color w:val="50B4C8" w:themeColor="accent1"/>
    </w:rPr>
  </w:style>
  <w:style w:type="character" w:styleId="IntenseReference">
    <w:name w:val="Intense Reference"/>
    <w:uiPriority w:val="32"/>
    <w:qFormat/>
    <w:rsid w:val="0020741F"/>
    <w:rPr>
      <w:b/>
      <w:bCs/>
      <w:i/>
      <w:iCs/>
      <w:caps/>
      <w:color w:val="50B4C8" w:themeColor="accent1"/>
    </w:rPr>
  </w:style>
  <w:style w:type="character" w:styleId="BookTitle">
    <w:name w:val="Book Title"/>
    <w:uiPriority w:val="33"/>
    <w:qFormat/>
    <w:rsid w:val="0020741F"/>
    <w:rPr>
      <w:b/>
      <w:bCs/>
      <w:i/>
      <w:iCs/>
      <w:spacing w:val="0"/>
    </w:rPr>
  </w:style>
  <w:style w:type="paragraph" w:styleId="TOCHeading">
    <w:name w:val="TOC Heading"/>
    <w:basedOn w:val="Heading1"/>
    <w:next w:val="Normal"/>
    <w:uiPriority w:val="39"/>
    <w:semiHidden/>
    <w:unhideWhenUsed/>
    <w:qFormat/>
    <w:rsid w:val="0020741F"/>
    <w:pPr>
      <w:outlineLvl w:val="9"/>
    </w:pPr>
  </w:style>
  <w:style w:type="table" w:styleId="TableGrid">
    <w:name w:val="Table Grid"/>
    <w:basedOn w:val="TableNormal"/>
    <w:uiPriority w:val="39"/>
    <w:rsid w:val="008B4AD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1FDC"/>
    <w:rPr>
      <w:sz w:val="16"/>
      <w:szCs w:val="16"/>
    </w:rPr>
  </w:style>
  <w:style w:type="paragraph" w:styleId="CommentText">
    <w:name w:val="annotation text"/>
    <w:basedOn w:val="Normal"/>
    <w:link w:val="CommentTextChar"/>
    <w:uiPriority w:val="99"/>
    <w:unhideWhenUsed/>
    <w:rsid w:val="00F01FDC"/>
    <w:pPr>
      <w:spacing w:line="240" w:lineRule="auto"/>
    </w:pPr>
    <w:rPr>
      <w:sz w:val="20"/>
      <w:szCs w:val="20"/>
    </w:rPr>
  </w:style>
  <w:style w:type="character" w:customStyle="1" w:styleId="CommentTextChar">
    <w:name w:val="Comment Text Char"/>
    <w:basedOn w:val="DefaultParagraphFont"/>
    <w:link w:val="CommentText"/>
    <w:uiPriority w:val="99"/>
    <w:rsid w:val="00F01FDC"/>
  </w:style>
  <w:style w:type="paragraph" w:styleId="CommentSubject">
    <w:name w:val="annotation subject"/>
    <w:basedOn w:val="CommentText"/>
    <w:next w:val="CommentText"/>
    <w:link w:val="CommentSubjectChar"/>
    <w:uiPriority w:val="99"/>
    <w:semiHidden/>
    <w:unhideWhenUsed/>
    <w:rsid w:val="00F01FDC"/>
    <w:rPr>
      <w:b/>
      <w:bCs/>
    </w:rPr>
  </w:style>
  <w:style w:type="character" w:customStyle="1" w:styleId="CommentSubjectChar">
    <w:name w:val="Comment Subject Char"/>
    <w:basedOn w:val="CommentTextChar"/>
    <w:link w:val="CommentSubject"/>
    <w:uiPriority w:val="99"/>
    <w:semiHidden/>
    <w:rsid w:val="00F01FDC"/>
    <w:rPr>
      <w:b/>
      <w:bCs/>
    </w:rPr>
  </w:style>
  <w:style w:type="character" w:styleId="FollowedHyperlink">
    <w:name w:val="FollowedHyperlink"/>
    <w:basedOn w:val="DefaultParagraphFont"/>
    <w:uiPriority w:val="99"/>
    <w:semiHidden/>
    <w:unhideWhenUsed/>
    <w:rsid w:val="00494E44"/>
    <w:rPr>
      <w:color w:val="877589" w:themeColor="followedHyperlink"/>
      <w:u w:val="single"/>
    </w:rPr>
  </w:style>
  <w:style w:type="paragraph" w:customStyle="1" w:styleId="paragraph">
    <w:name w:val="paragraph"/>
    <w:basedOn w:val="Normal"/>
    <w:rsid w:val="00C96CA5"/>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96CA5"/>
  </w:style>
  <w:style w:type="character" w:customStyle="1" w:styleId="eop">
    <w:name w:val="eop"/>
    <w:basedOn w:val="DefaultParagraphFont"/>
    <w:rsid w:val="00C96CA5"/>
  </w:style>
  <w:style w:type="paragraph" w:styleId="Revision">
    <w:name w:val="Revision"/>
    <w:hidden/>
    <w:uiPriority w:val="99"/>
    <w:semiHidden/>
    <w:rsid w:val="0099154E"/>
    <w:pPr>
      <w:spacing w:before="0"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62257">
      <w:bodyDiv w:val="1"/>
      <w:marLeft w:val="0"/>
      <w:marRight w:val="0"/>
      <w:marTop w:val="0"/>
      <w:marBottom w:val="0"/>
      <w:divBdr>
        <w:top w:val="none" w:sz="0" w:space="0" w:color="auto"/>
        <w:left w:val="none" w:sz="0" w:space="0" w:color="auto"/>
        <w:bottom w:val="none" w:sz="0" w:space="0" w:color="auto"/>
        <w:right w:val="none" w:sz="0" w:space="0" w:color="auto"/>
      </w:divBdr>
    </w:div>
    <w:div w:id="408576564">
      <w:bodyDiv w:val="1"/>
      <w:marLeft w:val="0"/>
      <w:marRight w:val="0"/>
      <w:marTop w:val="0"/>
      <w:marBottom w:val="0"/>
      <w:divBdr>
        <w:top w:val="none" w:sz="0" w:space="0" w:color="auto"/>
        <w:left w:val="none" w:sz="0" w:space="0" w:color="auto"/>
        <w:bottom w:val="none" w:sz="0" w:space="0" w:color="auto"/>
        <w:right w:val="none" w:sz="0" w:space="0" w:color="auto"/>
      </w:divBdr>
      <w:divsChild>
        <w:div w:id="51269263">
          <w:marLeft w:val="0"/>
          <w:marRight w:val="0"/>
          <w:marTop w:val="0"/>
          <w:marBottom w:val="0"/>
          <w:divBdr>
            <w:top w:val="none" w:sz="0" w:space="0" w:color="auto"/>
            <w:left w:val="none" w:sz="0" w:space="0" w:color="auto"/>
            <w:bottom w:val="none" w:sz="0" w:space="0" w:color="auto"/>
            <w:right w:val="none" w:sz="0" w:space="0" w:color="auto"/>
          </w:divBdr>
          <w:divsChild>
            <w:div w:id="838035366">
              <w:marLeft w:val="0"/>
              <w:marRight w:val="0"/>
              <w:marTop w:val="0"/>
              <w:marBottom w:val="0"/>
              <w:divBdr>
                <w:top w:val="none" w:sz="0" w:space="0" w:color="auto"/>
                <w:left w:val="none" w:sz="0" w:space="0" w:color="auto"/>
                <w:bottom w:val="none" w:sz="0" w:space="0" w:color="auto"/>
                <w:right w:val="none" w:sz="0" w:space="0" w:color="auto"/>
              </w:divBdr>
            </w:div>
            <w:div w:id="1559825840">
              <w:marLeft w:val="0"/>
              <w:marRight w:val="0"/>
              <w:marTop w:val="0"/>
              <w:marBottom w:val="0"/>
              <w:divBdr>
                <w:top w:val="none" w:sz="0" w:space="0" w:color="auto"/>
                <w:left w:val="none" w:sz="0" w:space="0" w:color="auto"/>
                <w:bottom w:val="none" w:sz="0" w:space="0" w:color="auto"/>
                <w:right w:val="none" w:sz="0" w:space="0" w:color="auto"/>
              </w:divBdr>
            </w:div>
          </w:divsChild>
        </w:div>
        <w:div w:id="67926721">
          <w:marLeft w:val="0"/>
          <w:marRight w:val="0"/>
          <w:marTop w:val="0"/>
          <w:marBottom w:val="0"/>
          <w:divBdr>
            <w:top w:val="none" w:sz="0" w:space="0" w:color="auto"/>
            <w:left w:val="none" w:sz="0" w:space="0" w:color="auto"/>
            <w:bottom w:val="none" w:sz="0" w:space="0" w:color="auto"/>
            <w:right w:val="none" w:sz="0" w:space="0" w:color="auto"/>
          </w:divBdr>
          <w:divsChild>
            <w:div w:id="830297718">
              <w:marLeft w:val="0"/>
              <w:marRight w:val="0"/>
              <w:marTop w:val="0"/>
              <w:marBottom w:val="0"/>
              <w:divBdr>
                <w:top w:val="none" w:sz="0" w:space="0" w:color="auto"/>
                <w:left w:val="none" w:sz="0" w:space="0" w:color="auto"/>
                <w:bottom w:val="none" w:sz="0" w:space="0" w:color="auto"/>
                <w:right w:val="none" w:sz="0" w:space="0" w:color="auto"/>
              </w:divBdr>
            </w:div>
          </w:divsChild>
        </w:div>
        <w:div w:id="104859564">
          <w:marLeft w:val="0"/>
          <w:marRight w:val="0"/>
          <w:marTop w:val="0"/>
          <w:marBottom w:val="0"/>
          <w:divBdr>
            <w:top w:val="none" w:sz="0" w:space="0" w:color="auto"/>
            <w:left w:val="none" w:sz="0" w:space="0" w:color="auto"/>
            <w:bottom w:val="none" w:sz="0" w:space="0" w:color="auto"/>
            <w:right w:val="none" w:sz="0" w:space="0" w:color="auto"/>
          </w:divBdr>
          <w:divsChild>
            <w:div w:id="5249389">
              <w:marLeft w:val="0"/>
              <w:marRight w:val="0"/>
              <w:marTop w:val="0"/>
              <w:marBottom w:val="0"/>
              <w:divBdr>
                <w:top w:val="none" w:sz="0" w:space="0" w:color="auto"/>
                <w:left w:val="none" w:sz="0" w:space="0" w:color="auto"/>
                <w:bottom w:val="none" w:sz="0" w:space="0" w:color="auto"/>
                <w:right w:val="none" w:sz="0" w:space="0" w:color="auto"/>
              </w:divBdr>
            </w:div>
          </w:divsChild>
        </w:div>
        <w:div w:id="127094219">
          <w:marLeft w:val="0"/>
          <w:marRight w:val="0"/>
          <w:marTop w:val="0"/>
          <w:marBottom w:val="0"/>
          <w:divBdr>
            <w:top w:val="none" w:sz="0" w:space="0" w:color="auto"/>
            <w:left w:val="none" w:sz="0" w:space="0" w:color="auto"/>
            <w:bottom w:val="none" w:sz="0" w:space="0" w:color="auto"/>
            <w:right w:val="none" w:sz="0" w:space="0" w:color="auto"/>
          </w:divBdr>
          <w:divsChild>
            <w:div w:id="445858500">
              <w:marLeft w:val="0"/>
              <w:marRight w:val="0"/>
              <w:marTop w:val="0"/>
              <w:marBottom w:val="0"/>
              <w:divBdr>
                <w:top w:val="none" w:sz="0" w:space="0" w:color="auto"/>
                <w:left w:val="none" w:sz="0" w:space="0" w:color="auto"/>
                <w:bottom w:val="none" w:sz="0" w:space="0" w:color="auto"/>
                <w:right w:val="none" w:sz="0" w:space="0" w:color="auto"/>
              </w:divBdr>
            </w:div>
            <w:div w:id="451637391">
              <w:marLeft w:val="0"/>
              <w:marRight w:val="0"/>
              <w:marTop w:val="0"/>
              <w:marBottom w:val="0"/>
              <w:divBdr>
                <w:top w:val="none" w:sz="0" w:space="0" w:color="auto"/>
                <w:left w:val="none" w:sz="0" w:space="0" w:color="auto"/>
                <w:bottom w:val="none" w:sz="0" w:space="0" w:color="auto"/>
                <w:right w:val="none" w:sz="0" w:space="0" w:color="auto"/>
              </w:divBdr>
            </w:div>
            <w:div w:id="945230823">
              <w:marLeft w:val="0"/>
              <w:marRight w:val="0"/>
              <w:marTop w:val="0"/>
              <w:marBottom w:val="0"/>
              <w:divBdr>
                <w:top w:val="none" w:sz="0" w:space="0" w:color="auto"/>
                <w:left w:val="none" w:sz="0" w:space="0" w:color="auto"/>
                <w:bottom w:val="none" w:sz="0" w:space="0" w:color="auto"/>
                <w:right w:val="none" w:sz="0" w:space="0" w:color="auto"/>
              </w:divBdr>
            </w:div>
            <w:div w:id="1226067715">
              <w:marLeft w:val="0"/>
              <w:marRight w:val="0"/>
              <w:marTop w:val="0"/>
              <w:marBottom w:val="0"/>
              <w:divBdr>
                <w:top w:val="none" w:sz="0" w:space="0" w:color="auto"/>
                <w:left w:val="none" w:sz="0" w:space="0" w:color="auto"/>
                <w:bottom w:val="none" w:sz="0" w:space="0" w:color="auto"/>
                <w:right w:val="none" w:sz="0" w:space="0" w:color="auto"/>
              </w:divBdr>
            </w:div>
          </w:divsChild>
        </w:div>
        <w:div w:id="128787226">
          <w:marLeft w:val="0"/>
          <w:marRight w:val="0"/>
          <w:marTop w:val="0"/>
          <w:marBottom w:val="0"/>
          <w:divBdr>
            <w:top w:val="none" w:sz="0" w:space="0" w:color="auto"/>
            <w:left w:val="none" w:sz="0" w:space="0" w:color="auto"/>
            <w:bottom w:val="none" w:sz="0" w:space="0" w:color="auto"/>
            <w:right w:val="none" w:sz="0" w:space="0" w:color="auto"/>
          </w:divBdr>
          <w:divsChild>
            <w:div w:id="347297835">
              <w:marLeft w:val="0"/>
              <w:marRight w:val="0"/>
              <w:marTop w:val="0"/>
              <w:marBottom w:val="0"/>
              <w:divBdr>
                <w:top w:val="none" w:sz="0" w:space="0" w:color="auto"/>
                <w:left w:val="none" w:sz="0" w:space="0" w:color="auto"/>
                <w:bottom w:val="none" w:sz="0" w:space="0" w:color="auto"/>
                <w:right w:val="none" w:sz="0" w:space="0" w:color="auto"/>
              </w:divBdr>
            </w:div>
          </w:divsChild>
        </w:div>
        <w:div w:id="161505380">
          <w:marLeft w:val="0"/>
          <w:marRight w:val="0"/>
          <w:marTop w:val="0"/>
          <w:marBottom w:val="0"/>
          <w:divBdr>
            <w:top w:val="none" w:sz="0" w:space="0" w:color="auto"/>
            <w:left w:val="none" w:sz="0" w:space="0" w:color="auto"/>
            <w:bottom w:val="none" w:sz="0" w:space="0" w:color="auto"/>
            <w:right w:val="none" w:sz="0" w:space="0" w:color="auto"/>
          </w:divBdr>
          <w:divsChild>
            <w:div w:id="1538816199">
              <w:marLeft w:val="0"/>
              <w:marRight w:val="0"/>
              <w:marTop w:val="0"/>
              <w:marBottom w:val="0"/>
              <w:divBdr>
                <w:top w:val="none" w:sz="0" w:space="0" w:color="auto"/>
                <w:left w:val="none" w:sz="0" w:space="0" w:color="auto"/>
                <w:bottom w:val="none" w:sz="0" w:space="0" w:color="auto"/>
                <w:right w:val="none" w:sz="0" w:space="0" w:color="auto"/>
              </w:divBdr>
            </w:div>
          </w:divsChild>
        </w:div>
        <w:div w:id="175190156">
          <w:marLeft w:val="0"/>
          <w:marRight w:val="0"/>
          <w:marTop w:val="0"/>
          <w:marBottom w:val="0"/>
          <w:divBdr>
            <w:top w:val="none" w:sz="0" w:space="0" w:color="auto"/>
            <w:left w:val="none" w:sz="0" w:space="0" w:color="auto"/>
            <w:bottom w:val="none" w:sz="0" w:space="0" w:color="auto"/>
            <w:right w:val="none" w:sz="0" w:space="0" w:color="auto"/>
          </w:divBdr>
          <w:divsChild>
            <w:div w:id="1880976218">
              <w:marLeft w:val="0"/>
              <w:marRight w:val="0"/>
              <w:marTop w:val="0"/>
              <w:marBottom w:val="0"/>
              <w:divBdr>
                <w:top w:val="none" w:sz="0" w:space="0" w:color="auto"/>
                <w:left w:val="none" w:sz="0" w:space="0" w:color="auto"/>
                <w:bottom w:val="none" w:sz="0" w:space="0" w:color="auto"/>
                <w:right w:val="none" w:sz="0" w:space="0" w:color="auto"/>
              </w:divBdr>
            </w:div>
          </w:divsChild>
        </w:div>
        <w:div w:id="255790383">
          <w:marLeft w:val="0"/>
          <w:marRight w:val="0"/>
          <w:marTop w:val="0"/>
          <w:marBottom w:val="0"/>
          <w:divBdr>
            <w:top w:val="none" w:sz="0" w:space="0" w:color="auto"/>
            <w:left w:val="none" w:sz="0" w:space="0" w:color="auto"/>
            <w:bottom w:val="none" w:sz="0" w:space="0" w:color="auto"/>
            <w:right w:val="none" w:sz="0" w:space="0" w:color="auto"/>
          </w:divBdr>
          <w:divsChild>
            <w:div w:id="856702170">
              <w:marLeft w:val="0"/>
              <w:marRight w:val="0"/>
              <w:marTop w:val="0"/>
              <w:marBottom w:val="0"/>
              <w:divBdr>
                <w:top w:val="none" w:sz="0" w:space="0" w:color="auto"/>
                <w:left w:val="none" w:sz="0" w:space="0" w:color="auto"/>
                <w:bottom w:val="none" w:sz="0" w:space="0" w:color="auto"/>
                <w:right w:val="none" w:sz="0" w:space="0" w:color="auto"/>
              </w:divBdr>
            </w:div>
          </w:divsChild>
        </w:div>
        <w:div w:id="341860184">
          <w:marLeft w:val="0"/>
          <w:marRight w:val="0"/>
          <w:marTop w:val="0"/>
          <w:marBottom w:val="0"/>
          <w:divBdr>
            <w:top w:val="none" w:sz="0" w:space="0" w:color="auto"/>
            <w:left w:val="none" w:sz="0" w:space="0" w:color="auto"/>
            <w:bottom w:val="none" w:sz="0" w:space="0" w:color="auto"/>
            <w:right w:val="none" w:sz="0" w:space="0" w:color="auto"/>
          </w:divBdr>
          <w:divsChild>
            <w:div w:id="135609689">
              <w:marLeft w:val="0"/>
              <w:marRight w:val="0"/>
              <w:marTop w:val="0"/>
              <w:marBottom w:val="0"/>
              <w:divBdr>
                <w:top w:val="none" w:sz="0" w:space="0" w:color="auto"/>
                <w:left w:val="none" w:sz="0" w:space="0" w:color="auto"/>
                <w:bottom w:val="none" w:sz="0" w:space="0" w:color="auto"/>
                <w:right w:val="none" w:sz="0" w:space="0" w:color="auto"/>
              </w:divBdr>
            </w:div>
          </w:divsChild>
        </w:div>
        <w:div w:id="344020844">
          <w:marLeft w:val="0"/>
          <w:marRight w:val="0"/>
          <w:marTop w:val="0"/>
          <w:marBottom w:val="0"/>
          <w:divBdr>
            <w:top w:val="none" w:sz="0" w:space="0" w:color="auto"/>
            <w:left w:val="none" w:sz="0" w:space="0" w:color="auto"/>
            <w:bottom w:val="none" w:sz="0" w:space="0" w:color="auto"/>
            <w:right w:val="none" w:sz="0" w:space="0" w:color="auto"/>
          </w:divBdr>
          <w:divsChild>
            <w:div w:id="1939562015">
              <w:marLeft w:val="0"/>
              <w:marRight w:val="0"/>
              <w:marTop w:val="0"/>
              <w:marBottom w:val="0"/>
              <w:divBdr>
                <w:top w:val="none" w:sz="0" w:space="0" w:color="auto"/>
                <w:left w:val="none" w:sz="0" w:space="0" w:color="auto"/>
                <w:bottom w:val="none" w:sz="0" w:space="0" w:color="auto"/>
                <w:right w:val="none" w:sz="0" w:space="0" w:color="auto"/>
              </w:divBdr>
            </w:div>
            <w:div w:id="2081898457">
              <w:marLeft w:val="0"/>
              <w:marRight w:val="0"/>
              <w:marTop w:val="0"/>
              <w:marBottom w:val="0"/>
              <w:divBdr>
                <w:top w:val="none" w:sz="0" w:space="0" w:color="auto"/>
                <w:left w:val="none" w:sz="0" w:space="0" w:color="auto"/>
                <w:bottom w:val="none" w:sz="0" w:space="0" w:color="auto"/>
                <w:right w:val="none" w:sz="0" w:space="0" w:color="auto"/>
              </w:divBdr>
            </w:div>
          </w:divsChild>
        </w:div>
        <w:div w:id="372192971">
          <w:marLeft w:val="0"/>
          <w:marRight w:val="0"/>
          <w:marTop w:val="0"/>
          <w:marBottom w:val="0"/>
          <w:divBdr>
            <w:top w:val="none" w:sz="0" w:space="0" w:color="auto"/>
            <w:left w:val="none" w:sz="0" w:space="0" w:color="auto"/>
            <w:bottom w:val="none" w:sz="0" w:space="0" w:color="auto"/>
            <w:right w:val="none" w:sz="0" w:space="0" w:color="auto"/>
          </w:divBdr>
          <w:divsChild>
            <w:div w:id="1906527405">
              <w:marLeft w:val="0"/>
              <w:marRight w:val="0"/>
              <w:marTop w:val="0"/>
              <w:marBottom w:val="0"/>
              <w:divBdr>
                <w:top w:val="none" w:sz="0" w:space="0" w:color="auto"/>
                <w:left w:val="none" w:sz="0" w:space="0" w:color="auto"/>
                <w:bottom w:val="none" w:sz="0" w:space="0" w:color="auto"/>
                <w:right w:val="none" w:sz="0" w:space="0" w:color="auto"/>
              </w:divBdr>
            </w:div>
          </w:divsChild>
        </w:div>
        <w:div w:id="557546713">
          <w:marLeft w:val="0"/>
          <w:marRight w:val="0"/>
          <w:marTop w:val="0"/>
          <w:marBottom w:val="0"/>
          <w:divBdr>
            <w:top w:val="none" w:sz="0" w:space="0" w:color="auto"/>
            <w:left w:val="none" w:sz="0" w:space="0" w:color="auto"/>
            <w:bottom w:val="none" w:sz="0" w:space="0" w:color="auto"/>
            <w:right w:val="none" w:sz="0" w:space="0" w:color="auto"/>
          </w:divBdr>
          <w:divsChild>
            <w:div w:id="2053458156">
              <w:marLeft w:val="0"/>
              <w:marRight w:val="0"/>
              <w:marTop w:val="0"/>
              <w:marBottom w:val="0"/>
              <w:divBdr>
                <w:top w:val="none" w:sz="0" w:space="0" w:color="auto"/>
                <w:left w:val="none" w:sz="0" w:space="0" w:color="auto"/>
                <w:bottom w:val="none" w:sz="0" w:space="0" w:color="auto"/>
                <w:right w:val="none" w:sz="0" w:space="0" w:color="auto"/>
              </w:divBdr>
            </w:div>
          </w:divsChild>
        </w:div>
        <w:div w:id="625504043">
          <w:marLeft w:val="0"/>
          <w:marRight w:val="0"/>
          <w:marTop w:val="0"/>
          <w:marBottom w:val="0"/>
          <w:divBdr>
            <w:top w:val="none" w:sz="0" w:space="0" w:color="auto"/>
            <w:left w:val="none" w:sz="0" w:space="0" w:color="auto"/>
            <w:bottom w:val="none" w:sz="0" w:space="0" w:color="auto"/>
            <w:right w:val="none" w:sz="0" w:space="0" w:color="auto"/>
          </w:divBdr>
          <w:divsChild>
            <w:div w:id="70977020">
              <w:marLeft w:val="0"/>
              <w:marRight w:val="0"/>
              <w:marTop w:val="0"/>
              <w:marBottom w:val="0"/>
              <w:divBdr>
                <w:top w:val="none" w:sz="0" w:space="0" w:color="auto"/>
                <w:left w:val="none" w:sz="0" w:space="0" w:color="auto"/>
                <w:bottom w:val="none" w:sz="0" w:space="0" w:color="auto"/>
                <w:right w:val="none" w:sz="0" w:space="0" w:color="auto"/>
              </w:divBdr>
            </w:div>
            <w:div w:id="838541117">
              <w:marLeft w:val="0"/>
              <w:marRight w:val="0"/>
              <w:marTop w:val="0"/>
              <w:marBottom w:val="0"/>
              <w:divBdr>
                <w:top w:val="none" w:sz="0" w:space="0" w:color="auto"/>
                <w:left w:val="none" w:sz="0" w:space="0" w:color="auto"/>
                <w:bottom w:val="none" w:sz="0" w:space="0" w:color="auto"/>
                <w:right w:val="none" w:sz="0" w:space="0" w:color="auto"/>
              </w:divBdr>
            </w:div>
          </w:divsChild>
        </w:div>
        <w:div w:id="652637599">
          <w:marLeft w:val="0"/>
          <w:marRight w:val="0"/>
          <w:marTop w:val="0"/>
          <w:marBottom w:val="0"/>
          <w:divBdr>
            <w:top w:val="none" w:sz="0" w:space="0" w:color="auto"/>
            <w:left w:val="none" w:sz="0" w:space="0" w:color="auto"/>
            <w:bottom w:val="none" w:sz="0" w:space="0" w:color="auto"/>
            <w:right w:val="none" w:sz="0" w:space="0" w:color="auto"/>
          </w:divBdr>
          <w:divsChild>
            <w:div w:id="895898204">
              <w:marLeft w:val="0"/>
              <w:marRight w:val="0"/>
              <w:marTop w:val="0"/>
              <w:marBottom w:val="0"/>
              <w:divBdr>
                <w:top w:val="none" w:sz="0" w:space="0" w:color="auto"/>
                <w:left w:val="none" w:sz="0" w:space="0" w:color="auto"/>
                <w:bottom w:val="none" w:sz="0" w:space="0" w:color="auto"/>
                <w:right w:val="none" w:sz="0" w:space="0" w:color="auto"/>
              </w:divBdr>
            </w:div>
          </w:divsChild>
        </w:div>
        <w:div w:id="853303610">
          <w:marLeft w:val="0"/>
          <w:marRight w:val="0"/>
          <w:marTop w:val="0"/>
          <w:marBottom w:val="0"/>
          <w:divBdr>
            <w:top w:val="none" w:sz="0" w:space="0" w:color="auto"/>
            <w:left w:val="none" w:sz="0" w:space="0" w:color="auto"/>
            <w:bottom w:val="none" w:sz="0" w:space="0" w:color="auto"/>
            <w:right w:val="none" w:sz="0" w:space="0" w:color="auto"/>
          </w:divBdr>
          <w:divsChild>
            <w:div w:id="1889296635">
              <w:marLeft w:val="0"/>
              <w:marRight w:val="0"/>
              <w:marTop w:val="0"/>
              <w:marBottom w:val="0"/>
              <w:divBdr>
                <w:top w:val="none" w:sz="0" w:space="0" w:color="auto"/>
                <w:left w:val="none" w:sz="0" w:space="0" w:color="auto"/>
                <w:bottom w:val="none" w:sz="0" w:space="0" w:color="auto"/>
                <w:right w:val="none" w:sz="0" w:space="0" w:color="auto"/>
              </w:divBdr>
            </w:div>
          </w:divsChild>
        </w:div>
        <w:div w:id="902641783">
          <w:marLeft w:val="0"/>
          <w:marRight w:val="0"/>
          <w:marTop w:val="0"/>
          <w:marBottom w:val="0"/>
          <w:divBdr>
            <w:top w:val="none" w:sz="0" w:space="0" w:color="auto"/>
            <w:left w:val="none" w:sz="0" w:space="0" w:color="auto"/>
            <w:bottom w:val="none" w:sz="0" w:space="0" w:color="auto"/>
            <w:right w:val="none" w:sz="0" w:space="0" w:color="auto"/>
          </w:divBdr>
          <w:divsChild>
            <w:div w:id="1386249790">
              <w:marLeft w:val="0"/>
              <w:marRight w:val="0"/>
              <w:marTop w:val="0"/>
              <w:marBottom w:val="0"/>
              <w:divBdr>
                <w:top w:val="none" w:sz="0" w:space="0" w:color="auto"/>
                <w:left w:val="none" w:sz="0" w:space="0" w:color="auto"/>
                <w:bottom w:val="none" w:sz="0" w:space="0" w:color="auto"/>
                <w:right w:val="none" w:sz="0" w:space="0" w:color="auto"/>
              </w:divBdr>
            </w:div>
          </w:divsChild>
        </w:div>
        <w:div w:id="918758243">
          <w:marLeft w:val="0"/>
          <w:marRight w:val="0"/>
          <w:marTop w:val="0"/>
          <w:marBottom w:val="0"/>
          <w:divBdr>
            <w:top w:val="none" w:sz="0" w:space="0" w:color="auto"/>
            <w:left w:val="none" w:sz="0" w:space="0" w:color="auto"/>
            <w:bottom w:val="none" w:sz="0" w:space="0" w:color="auto"/>
            <w:right w:val="none" w:sz="0" w:space="0" w:color="auto"/>
          </w:divBdr>
          <w:divsChild>
            <w:div w:id="1011030860">
              <w:marLeft w:val="0"/>
              <w:marRight w:val="0"/>
              <w:marTop w:val="0"/>
              <w:marBottom w:val="0"/>
              <w:divBdr>
                <w:top w:val="none" w:sz="0" w:space="0" w:color="auto"/>
                <w:left w:val="none" w:sz="0" w:space="0" w:color="auto"/>
                <w:bottom w:val="none" w:sz="0" w:space="0" w:color="auto"/>
                <w:right w:val="none" w:sz="0" w:space="0" w:color="auto"/>
              </w:divBdr>
            </w:div>
            <w:div w:id="1718817731">
              <w:marLeft w:val="0"/>
              <w:marRight w:val="0"/>
              <w:marTop w:val="0"/>
              <w:marBottom w:val="0"/>
              <w:divBdr>
                <w:top w:val="none" w:sz="0" w:space="0" w:color="auto"/>
                <w:left w:val="none" w:sz="0" w:space="0" w:color="auto"/>
                <w:bottom w:val="none" w:sz="0" w:space="0" w:color="auto"/>
                <w:right w:val="none" w:sz="0" w:space="0" w:color="auto"/>
              </w:divBdr>
            </w:div>
          </w:divsChild>
        </w:div>
        <w:div w:id="920061947">
          <w:marLeft w:val="0"/>
          <w:marRight w:val="0"/>
          <w:marTop w:val="0"/>
          <w:marBottom w:val="0"/>
          <w:divBdr>
            <w:top w:val="none" w:sz="0" w:space="0" w:color="auto"/>
            <w:left w:val="none" w:sz="0" w:space="0" w:color="auto"/>
            <w:bottom w:val="none" w:sz="0" w:space="0" w:color="auto"/>
            <w:right w:val="none" w:sz="0" w:space="0" w:color="auto"/>
          </w:divBdr>
          <w:divsChild>
            <w:div w:id="1639411211">
              <w:marLeft w:val="0"/>
              <w:marRight w:val="0"/>
              <w:marTop w:val="0"/>
              <w:marBottom w:val="0"/>
              <w:divBdr>
                <w:top w:val="none" w:sz="0" w:space="0" w:color="auto"/>
                <w:left w:val="none" w:sz="0" w:space="0" w:color="auto"/>
                <w:bottom w:val="none" w:sz="0" w:space="0" w:color="auto"/>
                <w:right w:val="none" w:sz="0" w:space="0" w:color="auto"/>
              </w:divBdr>
            </w:div>
          </w:divsChild>
        </w:div>
        <w:div w:id="953900597">
          <w:marLeft w:val="0"/>
          <w:marRight w:val="0"/>
          <w:marTop w:val="0"/>
          <w:marBottom w:val="0"/>
          <w:divBdr>
            <w:top w:val="none" w:sz="0" w:space="0" w:color="auto"/>
            <w:left w:val="none" w:sz="0" w:space="0" w:color="auto"/>
            <w:bottom w:val="none" w:sz="0" w:space="0" w:color="auto"/>
            <w:right w:val="none" w:sz="0" w:space="0" w:color="auto"/>
          </w:divBdr>
          <w:divsChild>
            <w:div w:id="683745424">
              <w:marLeft w:val="0"/>
              <w:marRight w:val="0"/>
              <w:marTop w:val="0"/>
              <w:marBottom w:val="0"/>
              <w:divBdr>
                <w:top w:val="none" w:sz="0" w:space="0" w:color="auto"/>
                <w:left w:val="none" w:sz="0" w:space="0" w:color="auto"/>
                <w:bottom w:val="none" w:sz="0" w:space="0" w:color="auto"/>
                <w:right w:val="none" w:sz="0" w:space="0" w:color="auto"/>
              </w:divBdr>
            </w:div>
          </w:divsChild>
        </w:div>
        <w:div w:id="988753150">
          <w:marLeft w:val="0"/>
          <w:marRight w:val="0"/>
          <w:marTop w:val="0"/>
          <w:marBottom w:val="0"/>
          <w:divBdr>
            <w:top w:val="none" w:sz="0" w:space="0" w:color="auto"/>
            <w:left w:val="none" w:sz="0" w:space="0" w:color="auto"/>
            <w:bottom w:val="none" w:sz="0" w:space="0" w:color="auto"/>
            <w:right w:val="none" w:sz="0" w:space="0" w:color="auto"/>
          </w:divBdr>
          <w:divsChild>
            <w:div w:id="188300834">
              <w:marLeft w:val="0"/>
              <w:marRight w:val="0"/>
              <w:marTop w:val="0"/>
              <w:marBottom w:val="0"/>
              <w:divBdr>
                <w:top w:val="none" w:sz="0" w:space="0" w:color="auto"/>
                <w:left w:val="none" w:sz="0" w:space="0" w:color="auto"/>
                <w:bottom w:val="none" w:sz="0" w:space="0" w:color="auto"/>
                <w:right w:val="none" w:sz="0" w:space="0" w:color="auto"/>
              </w:divBdr>
            </w:div>
          </w:divsChild>
        </w:div>
        <w:div w:id="1160072829">
          <w:marLeft w:val="0"/>
          <w:marRight w:val="0"/>
          <w:marTop w:val="0"/>
          <w:marBottom w:val="0"/>
          <w:divBdr>
            <w:top w:val="none" w:sz="0" w:space="0" w:color="auto"/>
            <w:left w:val="none" w:sz="0" w:space="0" w:color="auto"/>
            <w:bottom w:val="none" w:sz="0" w:space="0" w:color="auto"/>
            <w:right w:val="none" w:sz="0" w:space="0" w:color="auto"/>
          </w:divBdr>
          <w:divsChild>
            <w:div w:id="826169108">
              <w:marLeft w:val="0"/>
              <w:marRight w:val="0"/>
              <w:marTop w:val="0"/>
              <w:marBottom w:val="0"/>
              <w:divBdr>
                <w:top w:val="none" w:sz="0" w:space="0" w:color="auto"/>
                <w:left w:val="none" w:sz="0" w:space="0" w:color="auto"/>
                <w:bottom w:val="none" w:sz="0" w:space="0" w:color="auto"/>
                <w:right w:val="none" w:sz="0" w:space="0" w:color="auto"/>
              </w:divBdr>
            </w:div>
            <w:div w:id="1159034667">
              <w:marLeft w:val="0"/>
              <w:marRight w:val="0"/>
              <w:marTop w:val="0"/>
              <w:marBottom w:val="0"/>
              <w:divBdr>
                <w:top w:val="none" w:sz="0" w:space="0" w:color="auto"/>
                <w:left w:val="none" w:sz="0" w:space="0" w:color="auto"/>
                <w:bottom w:val="none" w:sz="0" w:space="0" w:color="auto"/>
                <w:right w:val="none" w:sz="0" w:space="0" w:color="auto"/>
              </w:divBdr>
            </w:div>
          </w:divsChild>
        </w:div>
        <w:div w:id="1163819805">
          <w:marLeft w:val="0"/>
          <w:marRight w:val="0"/>
          <w:marTop w:val="0"/>
          <w:marBottom w:val="0"/>
          <w:divBdr>
            <w:top w:val="none" w:sz="0" w:space="0" w:color="auto"/>
            <w:left w:val="none" w:sz="0" w:space="0" w:color="auto"/>
            <w:bottom w:val="none" w:sz="0" w:space="0" w:color="auto"/>
            <w:right w:val="none" w:sz="0" w:space="0" w:color="auto"/>
          </w:divBdr>
          <w:divsChild>
            <w:div w:id="1762330643">
              <w:marLeft w:val="0"/>
              <w:marRight w:val="0"/>
              <w:marTop w:val="0"/>
              <w:marBottom w:val="0"/>
              <w:divBdr>
                <w:top w:val="none" w:sz="0" w:space="0" w:color="auto"/>
                <w:left w:val="none" w:sz="0" w:space="0" w:color="auto"/>
                <w:bottom w:val="none" w:sz="0" w:space="0" w:color="auto"/>
                <w:right w:val="none" w:sz="0" w:space="0" w:color="auto"/>
              </w:divBdr>
            </w:div>
          </w:divsChild>
        </w:div>
        <w:div w:id="1265267706">
          <w:marLeft w:val="0"/>
          <w:marRight w:val="0"/>
          <w:marTop w:val="0"/>
          <w:marBottom w:val="0"/>
          <w:divBdr>
            <w:top w:val="none" w:sz="0" w:space="0" w:color="auto"/>
            <w:left w:val="none" w:sz="0" w:space="0" w:color="auto"/>
            <w:bottom w:val="none" w:sz="0" w:space="0" w:color="auto"/>
            <w:right w:val="none" w:sz="0" w:space="0" w:color="auto"/>
          </w:divBdr>
          <w:divsChild>
            <w:div w:id="55014420">
              <w:marLeft w:val="0"/>
              <w:marRight w:val="0"/>
              <w:marTop w:val="0"/>
              <w:marBottom w:val="0"/>
              <w:divBdr>
                <w:top w:val="none" w:sz="0" w:space="0" w:color="auto"/>
                <w:left w:val="none" w:sz="0" w:space="0" w:color="auto"/>
                <w:bottom w:val="none" w:sz="0" w:space="0" w:color="auto"/>
                <w:right w:val="none" w:sz="0" w:space="0" w:color="auto"/>
              </w:divBdr>
            </w:div>
          </w:divsChild>
        </w:div>
        <w:div w:id="1421952145">
          <w:marLeft w:val="0"/>
          <w:marRight w:val="0"/>
          <w:marTop w:val="0"/>
          <w:marBottom w:val="0"/>
          <w:divBdr>
            <w:top w:val="none" w:sz="0" w:space="0" w:color="auto"/>
            <w:left w:val="none" w:sz="0" w:space="0" w:color="auto"/>
            <w:bottom w:val="none" w:sz="0" w:space="0" w:color="auto"/>
            <w:right w:val="none" w:sz="0" w:space="0" w:color="auto"/>
          </w:divBdr>
          <w:divsChild>
            <w:div w:id="990717156">
              <w:marLeft w:val="0"/>
              <w:marRight w:val="0"/>
              <w:marTop w:val="0"/>
              <w:marBottom w:val="0"/>
              <w:divBdr>
                <w:top w:val="none" w:sz="0" w:space="0" w:color="auto"/>
                <w:left w:val="none" w:sz="0" w:space="0" w:color="auto"/>
                <w:bottom w:val="none" w:sz="0" w:space="0" w:color="auto"/>
                <w:right w:val="none" w:sz="0" w:space="0" w:color="auto"/>
              </w:divBdr>
            </w:div>
          </w:divsChild>
        </w:div>
        <w:div w:id="1436823228">
          <w:marLeft w:val="0"/>
          <w:marRight w:val="0"/>
          <w:marTop w:val="0"/>
          <w:marBottom w:val="0"/>
          <w:divBdr>
            <w:top w:val="none" w:sz="0" w:space="0" w:color="auto"/>
            <w:left w:val="none" w:sz="0" w:space="0" w:color="auto"/>
            <w:bottom w:val="none" w:sz="0" w:space="0" w:color="auto"/>
            <w:right w:val="none" w:sz="0" w:space="0" w:color="auto"/>
          </w:divBdr>
          <w:divsChild>
            <w:div w:id="2034958431">
              <w:marLeft w:val="0"/>
              <w:marRight w:val="0"/>
              <w:marTop w:val="0"/>
              <w:marBottom w:val="0"/>
              <w:divBdr>
                <w:top w:val="none" w:sz="0" w:space="0" w:color="auto"/>
                <w:left w:val="none" w:sz="0" w:space="0" w:color="auto"/>
                <w:bottom w:val="none" w:sz="0" w:space="0" w:color="auto"/>
                <w:right w:val="none" w:sz="0" w:space="0" w:color="auto"/>
              </w:divBdr>
            </w:div>
          </w:divsChild>
        </w:div>
        <w:div w:id="1599289478">
          <w:marLeft w:val="0"/>
          <w:marRight w:val="0"/>
          <w:marTop w:val="0"/>
          <w:marBottom w:val="0"/>
          <w:divBdr>
            <w:top w:val="none" w:sz="0" w:space="0" w:color="auto"/>
            <w:left w:val="none" w:sz="0" w:space="0" w:color="auto"/>
            <w:bottom w:val="none" w:sz="0" w:space="0" w:color="auto"/>
            <w:right w:val="none" w:sz="0" w:space="0" w:color="auto"/>
          </w:divBdr>
          <w:divsChild>
            <w:div w:id="298458323">
              <w:marLeft w:val="0"/>
              <w:marRight w:val="0"/>
              <w:marTop w:val="0"/>
              <w:marBottom w:val="0"/>
              <w:divBdr>
                <w:top w:val="none" w:sz="0" w:space="0" w:color="auto"/>
                <w:left w:val="none" w:sz="0" w:space="0" w:color="auto"/>
                <w:bottom w:val="none" w:sz="0" w:space="0" w:color="auto"/>
                <w:right w:val="none" w:sz="0" w:space="0" w:color="auto"/>
              </w:divBdr>
            </w:div>
          </w:divsChild>
        </w:div>
        <w:div w:id="1805079557">
          <w:marLeft w:val="0"/>
          <w:marRight w:val="0"/>
          <w:marTop w:val="0"/>
          <w:marBottom w:val="0"/>
          <w:divBdr>
            <w:top w:val="none" w:sz="0" w:space="0" w:color="auto"/>
            <w:left w:val="none" w:sz="0" w:space="0" w:color="auto"/>
            <w:bottom w:val="none" w:sz="0" w:space="0" w:color="auto"/>
            <w:right w:val="none" w:sz="0" w:space="0" w:color="auto"/>
          </w:divBdr>
          <w:divsChild>
            <w:div w:id="630598044">
              <w:marLeft w:val="0"/>
              <w:marRight w:val="0"/>
              <w:marTop w:val="0"/>
              <w:marBottom w:val="0"/>
              <w:divBdr>
                <w:top w:val="none" w:sz="0" w:space="0" w:color="auto"/>
                <w:left w:val="none" w:sz="0" w:space="0" w:color="auto"/>
                <w:bottom w:val="none" w:sz="0" w:space="0" w:color="auto"/>
                <w:right w:val="none" w:sz="0" w:space="0" w:color="auto"/>
              </w:divBdr>
            </w:div>
            <w:div w:id="914361522">
              <w:marLeft w:val="0"/>
              <w:marRight w:val="0"/>
              <w:marTop w:val="0"/>
              <w:marBottom w:val="0"/>
              <w:divBdr>
                <w:top w:val="none" w:sz="0" w:space="0" w:color="auto"/>
                <w:left w:val="none" w:sz="0" w:space="0" w:color="auto"/>
                <w:bottom w:val="none" w:sz="0" w:space="0" w:color="auto"/>
                <w:right w:val="none" w:sz="0" w:space="0" w:color="auto"/>
              </w:divBdr>
            </w:div>
          </w:divsChild>
        </w:div>
        <w:div w:id="1977299105">
          <w:marLeft w:val="0"/>
          <w:marRight w:val="0"/>
          <w:marTop w:val="0"/>
          <w:marBottom w:val="0"/>
          <w:divBdr>
            <w:top w:val="none" w:sz="0" w:space="0" w:color="auto"/>
            <w:left w:val="none" w:sz="0" w:space="0" w:color="auto"/>
            <w:bottom w:val="none" w:sz="0" w:space="0" w:color="auto"/>
            <w:right w:val="none" w:sz="0" w:space="0" w:color="auto"/>
          </w:divBdr>
          <w:divsChild>
            <w:div w:id="324820328">
              <w:marLeft w:val="0"/>
              <w:marRight w:val="0"/>
              <w:marTop w:val="0"/>
              <w:marBottom w:val="0"/>
              <w:divBdr>
                <w:top w:val="none" w:sz="0" w:space="0" w:color="auto"/>
                <w:left w:val="none" w:sz="0" w:space="0" w:color="auto"/>
                <w:bottom w:val="none" w:sz="0" w:space="0" w:color="auto"/>
                <w:right w:val="none" w:sz="0" w:space="0" w:color="auto"/>
              </w:divBdr>
            </w:div>
          </w:divsChild>
        </w:div>
        <w:div w:id="2108502909">
          <w:marLeft w:val="0"/>
          <w:marRight w:val="0"/>
          <w:marTop w:val="0"/>
          <w:marBottom w:val="0"/>
          <w:divBdr>
            <w:top w:val="none" w:sz="0" w:space="0" w:color="auto"/>
            <w:left w:val="none" w:sz="0" w:space="0" w:color="auto"/>
            <w:bottom w:val="none" w:sz="0" w:space="0" w:color="auto"/>
            <w:right w:val="none" w:sz="0" w:space="0" w:color="auto"/>
          </w:divBdr>
          <w:divsChild>
            <w:div w:id="9187254">
              <w:marLeft w:val="0"/>
              <w:marRight w:val="0"/>
              <w:marTop w:val="0"/>
              <w:marBottom w:val="0"/>
              <w:divBdr>
                <w:top w:val="none" w:sz="0" w:space="0" w:color="auto"/>
                <w:left w:val="none" w:sz="0" w:space="0" w:color="auto"/>
                <w:bottom w:val="none" w:sz="0" w:space="0" w:color="auto"/>
                <w:right w:val="none" w:sz="0" w:space="0" w:color="auto"/>
              </w:divBdr>
            </w:div>
            <w:div w:id="1270814988">
              <w:marLeft w:val="0"/>
              <w:marRight w:val="0"/>
              <w:marTop w:val="0"/>
              <w:marBottom w:val="0"/>
              <w:divBdr>
                <w:top w:val="none" w:sz="0" w:space="0" w:color="auto"/>
                <w:left w:val="none" w:sz="0" w:space="0" w:color="auto"/>
                <w:bottom w:val="none" w:sz="0" w:space="0" w:color="auto"/>
                <w:right w:val="none" w:sz="0" w:space="0" w:color="auto"/>
              </w:divBdr>
            </w:div>
          </w:divsChild>
        </w:div>
        <w:div w:id="2119716496">
          <w:marLeft w:val="0"/>
          <w:marRight w:val="0"/>
          <w:marTop w:val="0"/>
          <w:marBottom w:val="0"/>
          <w:divBdr>
            <w:top w:val="none" w:sz="0" w:space="0" w:color="auto"/>
            <w:left w:val="none" w:sz="0" w:space="0" w:color="auto"/>
            <w:bottom w:val="none" w:sz="0" w:space="0" w:color="auto"/>
            <w:right w:val="none" w:sz="0" w:space="0" w:color="auto"/>
          </w:divBdr>
          <w:divsChild>
            <w:div w:id="686560798">
              <w:marLeft w:val="0"/>
              <w:marRight w:val="0"/>
              <w:marTop w:val="0"/>
              <w:marBottom w:val="0"/>
              <w:divBdr>
                <w:top w:val="none" w:sz="0" w:space="0" w:color="auto"/>
                <w:left w:val="none" w:sz="0" w:space="0" w:color="auto"/>
                <w:bottom w:val="none" w:sz="0" w:space="0" w:color="auto"/>
                <w:right w:val="none" w:sz="0" w:space="0" w:color="auto"/>
              </w:divBdr>
            </w:div>
          </w:divsChild>
        </w:div>
        <w:div w:id="2129470768">
          <w:marLeft w:val="0"/>
          <w:marRight w:val="0"/>
          <w:marTop w:val="0"/>
          <w:marBottom w:val="0"/>
          <w:divBdr>
            <w:top w:val="none" w:sz="0" w:space="0" w:color="auto"/>
            <w:left w:val="none" w:sz="0" w:space="0" w:color="auto"/>
            <w:bottom w:val="none" w:sz="0" w:space="0" w:color="auto"/>
            <w:right w:val="none" w:sz="0" w:space="0" w:color="auto"/>
          </w:divBdr>
          <w:divsChild>
            <w:div w:id="15449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33862">
      <w:bodyDiv w:val="1"/>
      <w:marLeft w:val="0"/>
      <w:marRight w:val="0"/>
      <w:marTop w:val="0"/>
      <w:marBottom w:val="0"/>
      <w:divBdr>
        <w:top w:val="none" w:sz="0" w:space="0" w:color="auto"/>
        <w:left w:val="none" w:sz="0" w:space="0" w:color="auto"/>
        <w:bottom w:val="none" w:sz="0" w:space="0" w:color="auto"/>
        <w:right w:val="none" w:sz="0" w:space="0" w:color="auto"/>
      </w:divBdr>
      <w:divsChild>
        <w:div w:id="224798002">
          <w:marLeft w:val="0"/>
          <w:marRight w:val="0"/>
          <w:marTop w:val="0"/>
          <w:marBottom w:val="0"/>
          <w:divBdr>
            <w:top w:val="none" w:sz="0" w:space="0" w:color="auto"/>
            <w:left w:val="none" w:sz="0" w:space="0" w:color="auto"/>
            <w:bottom w:val="none" w:sz="0" w:space="0" w:color="auto"/>
            <w:right w:val="none" w:sz="0" w:space="0" w:color="auto"/>
          </w:divBdr>
          <w:divsChild>
            <w:div w:id="379861406">
              <w:marLeft w:val="0"/>
              <w:marRight w:val="0"/>
              <w:marTop w:val="0"/>
              <w:marBottom w:val="0"/>
              <w:divBdr>
                <w:top w:val="none" w:sz="0" w:space="0" w:color="auto"/>
                <w:left w:val="none" w:sz="0" w:space="0" w:color="auto"/>
                <w:bottom w:val="none" w:sz="0" w:space="0" w:color="auto"/>
                <w:right w:val="none" w:sz="0" w:space="0" w:color="auto"/>
              </w:divBdr>
            </w:div>
          </w:divsChild>
        </w:div>
        <w:div w:id="774784916">
          <w:marLeft w:val="0"/>
          <w:marRight w:val="0"/>
          <w:marTop w:val="0"/>
          <w:marBottom w:val="0"/>
          <w:divBdr>
            <w:top w:val="none" w:sz="0" w:space="0" w:color="auto"/>
            <w:left w:val="none" w:sz="0" w:space="0" w:color="auto"/>
            <w:bottom w:val="none" w:sz="0" w:space="0" w:color="auto"/>
            <w:right w:val="none" w:sz="0" w:space="0" w:color="auto"/>
          </w:divBdr>
          <w:divsChild>
            <w:div w:id="97408367">
              <w:marLeft w:val="0"/>
              <w:marRight w:val="0"/>
              <w:marTop w:val="0"/>
              <w:marBottom w:val="0"/>
              <w:divBdr>
                <w:top w:val="none" w:sz="0" w:space="0" w:color="auto"/>
                <w:left w:val="none" w:sz="0" w:space="0" w:color="auto"/>
                <w:bottom w:val="none" w:sz="0" w:space="0" w:color="auto"/>
                <w:right w:val="none" w:sz="0" w:space="0" w:color="auto"/>
              </w:divBdr>
            </w:div>
          </w:divsChild>
        </w:div>
        <w:div w:id="779102765">
          <w:marLeft w:val="0"/>
          <w:marRight w:val="0"/>
          <w:marTop w:val="0"/>
          <w:marBottom w:val="0"/>
          <w:divBdr>
            <w:top w:val="none" w:sz="0" w:space="0" w:color="auto"/>
            <w:left w:val="none" w:sz="0" w:space="0" w:color="auto"/>
            <w:bottom w:val="none" w:sz="0" w:space="0" w:color="auto"/>
            <w:right w:val="none" w:sz="0" w:space="0" w:color="auto"/>
          </w:divBdr>
          <w:divsChild>
            <w:div w:id="72549377">
              <w:marLeft w:val="0"/>
              <w:marRight w:val="0"/>
              <w:marTop w:val="0"/>
              <w:marBottom w:val="0"/>
              <w:divBdr>
                <w:top w:val="none" w:sz="0" w:space="0" w:color="auto"/>
                <w:left w:val="none" w:sz="0" w:space="0" w:color="auto"/>
                <w:bottom w:val="none" w:sz="0" w:space="0" w:color="auto"/>
                <w:right w:val="none" w:sz="0" w:space="0" w:color="auto"/>
              </w:divBdr>
            </w:div>
            <w:div w:id="1292397295">
              <w:marLeft w:val="0"/>
              <w:marRight w:val="0"/>
              <w:marTop w:val="0"/>
              <w:marBottom w:val="0"/>
              <w:divBdr>
                <w:top w:val="none" w:sz="0" w:space="0" w:color="auto"/>
                <w:left w:val="none" w:sz="0" w:space="0" w:color="auto"/>
                <w:bottom w:val="none" w:sz="0" w:space="0" w:color="auto"/>
                <w:right w:val="none" w:sz="0" w:space="0" w:color="auto"/>
              </w:divBdr>
            </w:div>
          </w:divsChild>
        </w:div>
        <w:div w:id="1117063113">
          <w:marLeft w:val="0"/>
          <w:marRight w:val="0"/>
          <w:marTop w:val="0"/>
          <w:marBottom w:val="0"/>
          <w:divBdr>
            <w:top w:val="none" w:sz="0" w:space="0" w:color="auto"/>
            <w:left w:val="none" w:sz="0" w:space="0" w:color="auto"/>
            <w:bottom w:val="none" w:sz="0" w:space="0" w:color="auto"/>
            <w:right w:val="none" w:sz="0" w:space="0" w:color="auto"/>
          </w:divBdr>
          <w:divsChild>
            <w:div w:id="209726555">
              <w:marLeft w:val="0"/>
              <w:marRight w:val="0"/>
              <w:marTop w:val="0"/>
              <w:marBottom w:val="0"/>
              <w:divBdr>
                <w:top w:val="none" w:sz="0" w:space="0" w:color="auto"/>
                <w:left w:val="none" w:sz="0" w:space="0" w:color="auto"/>
                <w:bottom w:val="none" w:sz="0" w:space="0" w:color="auto"/>
                <w:right w:val="none" w:sz="0" w:space="0" w:color="auto"/>
              </w:divBdr>
            </w:div>
          </w:divsChild>
        </w:div>
        <w:div w:id="1486388582">
          <w:marLeft w:val="0"/>
          <w:marRight w:val="0"/>
          <w:marTop w:val="0"/>
          <w:marBottom w:val="0"/>
          <w:divBdr>
            <w:top w:val="none" w:sz="0" w:space="0" w:color="auto"/>
            <w:left w:val="none" w:sz="0" w:space="0" w:color="auto"/>
            <w:bottom w:val="none" w:sz="0" w:space="0" w:color="auto"/>
            <w:right w:val="none" w:sz="0" w:space="0" w:color="auto"/>
          </w:divBdr>
          <w:divsChild>
            <w:div w:id="790124339">
              <w:marLeft w:val="0"/>
              <w:marRight w:val="0"/>
              <w:marTop w:val="0"/>
              <w:marBottom w:val="0"/>
              <w:divBdr>
                <w:top w:val="none" w:sz="0" w:space="0" w:color="auto"/>
                <w:left w:val="none" w:sz="0" w:space="0" w:color="auto"/>
                <w:bottom w:val="none" w:sz="0" w:space="0" w:color="auto"/>
                <w:right w:val="none" w:sz="0" w:space="0" w:color="auto"/>
              </w:divBdr>
            </w:div>
          </w:divsChild>
        </w:div>
        <w:div w:id="1755935767">
          <w:marLeft w:val="0"/>
          <w:marRight w:val="0"/>
          <w:marTop w:val="0"/>
          <w:marBottom w:val="0"/>
          <w:divBdr>
            <w:top w:val="none" w:sz="0" w:space="0" w:color="auto"/>
            <w:left w:val="none" w:sz="0" w:space="0" w:color="auto"/>
            <w:bottom w:val="none" w:sz="0" w:space="0" w:color="auto"/>
            <w:right w:val="none" w:sz="0" w:space="0" w:color="auto"/>
          </w:divBdr>
          <w:divsChild>
            <w:div w:id="36972459">
              <w:marLeft w:val="0"/>
              <w:marRight w:val="0"/>
              <w:marTop w:val="0"/>
              <w:marBottom w:val="0"/>
              <w:divBdr>
                <w:top w:val="none" w:sz="0" w:space="0" w:color="auto"/>
                <w:left w:val="none" w:sz="0" w:space="0" w:color="auto"/>
                <w:bottom w:val="none" w:sz="0" w:space="0" w:color="auto"/>
                <w:right w:val="none" w:sz="0" w:space="0" w:color="auto"/>
              </w:divBdr>
            </w:div>
            <w:div w:id="20900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6196">
      <w:bodyDiv w:val="1"/>
      <w:marLeft w:val="0"/>
      <w:marRight w:val="0"/>
      <w:marTop w:val="0"/>
      <w:marBottom w:val="0"/>
      <w:divBdr>
        <w:top w:val="none" w:sz="0" w:space="0" w:color="auto"/>
        <w:left w:val="none" w:sz="0" w:space="0" w:color="auto"/>
        <w:bottom w:val="none" w:sz="0" w:space="0" w:color="auto"/>
        <w:right w:val="none" w:sz="0" w:space="0" w:color="auto"/>
      </w:divBdr>
    </w:div>
    <w:div w:id="1335760983">
      <w:bodyDiv w:val="1"/>
      <w:marLeft w:val="0"/>
      <w:marRight w:val="0"/>
      <w:marTop w:val="0"/>
      <w:marBottom w:val="0"/>
      <w:divBdr>
        <w:top w:val="none" w:sz="0" w:space="0" w:color="auto"/>
        <w:left w:val="none" w:sz="0" w:space="0" w:color="auto"/>
        <w:bottom w:val="none" w:sz="0" w:space="0" w:color="auto"/>
        <w:right w:val="none" w:sz="0" w:space="0" w:color="auto"/>
      </w:divBdr>
      <w:divsChild>
        <w:div w:id="98991972">
          <w:marLeft w:val="0"/>
          <w:marRight w:val="0"/>
          <w:marTop w:val="0"/>
          <w:marBottom w:val="0"/>
          <w:divBdr>
            <w:top w:val="none" w:sz="0" w:space="0" w:color="auto"/>
            <w:left w:val="none" w:sz="0" w:space="0" w:color="auto"/>
            <w:bottom w:val="none" w:sz="0" w:space="0" w:color="auto"/>
            <w:right w:val="none" w:sz="0" w:space="0" w:color="auto"/>
          </w:divBdr>
        </w:div>
        <w:div w:id="117383075">
          <w:marLeft w:val="0"/>
          <w:marRight w:val="0"/>
          <w:marTop w:val="0"/>
          <w:marBottom w:val="0"/>
          <w:divBdr>
            <w:top w:val="none" w:sz="0" w:space="0" w:color="auto"/>
            <w:left w:val="none" w:sz="0" w:space="0" w:color="auto"/>
            <w:bottom w:val="none" w:sz="0" w:space="0" w:color="auto"/>
            <w:right w:val="none" w:sz="0" w:space="0" w:color="auto"/>
          </w:divBdr>
        </w:div>
        <w:div w:id="126630210">
          <w:marLeft w:val="0"/>
          <w:marRight w:val="0"/>
          <w:marTop w:val="0"/>
          <w:marBottom w:val="0"/>
          <w:divBdr>
            <w:top w:val="none" w:sz="0" w:space="0" w:color="auto"/>
            <w:left w:val="none" w:sz="0" w:space="0" w:color="auto"/>
            <w:bottom w:val="none" w:sz="0" w:space="0" w:color="auto"/>
            <w:right w:val="none" w:sz="0" w:space="0" w:color="auto"/>
          </w:divBdr>
        </w:div>
        <w:div w:id="266469509">
          <w:marLeft w:val="0"/>
          <w:marRight w:val="0"/>
          <w:marTop w:val="0"/>
          <w:marBottom w:val="0"/>
          <w:divBdr>
            <w:top w:val="none" w:sz="0" w:space="0" w:color="auto"/>
            <w:left w:val="none" w:sz="0" w:space="0" w:color="auto"/>
            <w:bottom w:val="none" w:sz="0" w:space="0" w:color="auto"/>
            <w:right w:val="none" w:sz="0" w:space="0" w:color="auto"/>
          </w:divBdr>
        </w:div>
        <w:div w:id="319357773">
          <w:marLeft w:val="0"/>
          <w:marRight w:val="0"/>
          <w:marTop w:val="0"/>
          <w:marBottom w:val="0"/>
          <w:divBdr>
            <w:top w:val="none" w:sz="0" w:space="0" w:color="auto"/>
            <w:left w:val="none" w:sz="0" w:space="0" w:color="auto"/>
            <w:bottom w:val="none" w:sz="0" w:space="0" w:color="auto"/>
            <w:right w:val="none" w:sz="0" w:space="0" w:color="auto"/>
          </w:divBdr>
        </w:div>
        <w:div w:id="331687028">
          <w:marLeft w:val="0"/>
          <w:marRight w:val="0"/>
          <w:marTop w:val="0"/>
          <w:marBottom w:val="0"/>
          <w:divBdr>
            <w:top w:val="none" w:sz="0" w:space="0" w:color="auto"/>
            <w:left w:val="none" w:sz="0" w:space="0" w:color="auto"/>
            <w:bottom w:val="none" w:sz="0" w:space="0" w:color="auto"/>
            <w:right w:val="none" w:sz="0" w:space="0" w:color="auto"/>
          </w:divBdr>
        </w:div>
        <w:div w:id="424151799">
          <w:marLeft w:val="0"/>
          <w:marRight w:val="0"/>
          <w:marTop w:val="0"/>
          <w:marBottom w:val="0"/>
          <w:divBdr>
            <w:top w:val="none" w:sz="0" w:space="0" w:color="auto"/>
            <w:left w:val="none" w:sz="0" w:space="0" w:color="auto"/>
            <w:bottom w:val="none" w:sz="0" w:space="0" w:color="auto"/>
            <w:right w:val="none" w:sz="0" w:space="0" w:color="auto"/>
          </w:divBdr>
        </w:div>
        <w:div w:id="457921447">
          <w:marLeft w:val="0"/>
          <w:marRight w:val="0"/>
          <w:marTop w:val="0"/>
          <w:marBottom w:val="0"/>
          <w:divBdr>
            <w:top w:val="none" w:sz="0" w:space="0" w:color="auto"/>
            <w:left w:val="none" w:sz="0" w:space="0" w:color="auto"/>
            <w:bottom w:val="none" w:sz="0" w:space="0" w:color="auto"/>
            <w:right w:val="none" w:sz="0" w:space="0" w:color="auto"/>
          </w:divBdr>
        </w:div>
        <w:div w:id="573710402">
          <w:marLeft w:val="0"/>
          <w:marRight w:val="0"/>
          <w:marTop w:val="0"/>
          <w:marBottom w:val="0"/>
          <w:divBdr>
            <w:top w:val="none" w:sz="0" w:space="0" w:color="auto"/>
            <w:left w:val="none" w:sz="0" w:space="0" w:color="auto"/>
            <w:bottom w:val="none" w:sz="0" w:space="0" w:color="auto"/>
            <w:right w:val="none" w:sz="0" w:space="0" w:color="auto"/>
          </w:divBdr>
        </w:div>
        <w:div w:id="616183693">
          <w:marLeft w:val="0"/>
          <w:marRight w:val="0"/>
          <w:marTop w:val="0"/>
          <w:marBottom w:val="0"/>
          <w:divBdr>
            <w:top w:val="none" w:sz="0" w:space="0" w:color="auto"/>
            <w:left w:val="none" w:sz="0" w:space="0" w:color="auto"/>
            <w:bottom w:val="none" w:sz="0" w:space="0" w:color="auto"/>
            <w:right w:val="none" w:sz="0" w:space="0" w:color="auto"/>
          </w:divBdr>
        </w:div>
        <w:div w:id="832648954">
          <w:marLeft w:val="0"/>
          <w:marRight w:val="0"/>
          <w:marTop w:val="0"/>
          <w:marBottom w:val="0"/>
          <w:divBdr>
            <w:top w:val="none" w:sz="0" w:space="0" w:color="auto"/>
            <w:left w:val="none" w:sz="0" w:space="0" w:color="auto"/>
            <w:bottom w:val="none" w:sz="0" w:space="0" w:color="auto"/>
            <w:right w:val="none" w:sz="0" w:space="0" w:color="auto"/>
          </w:divBdr>
        </w:div>
        <w:div w:id="847908637">
          <w:marLeft w:val="0"/>
          <w:marRight w:val="0"/>
          <w:marTop w:val="0"/>
          <w:marBottom w:val="0"/>
          <w:divBdr>
            <w:top w:val="none" w:sz="0" w:space="0" w:color="auto"/>
            <w:left w:val="none" w:sz="0" w:space="0" w:color="auto"/>
            <w:bottom w:val="none" w:sz="0" w:space="0" w:color="auto"/>
            <w:right w:val="none" w:sz="0" w:space="0" w:color="auto"/>
          </w:divBdr>
        </w:div>
        <w:div w:id="962347061">
          <w:marLeft w:val="0"/>
          <w:marRight w:val="0"/>
          <w:marTop w:val="0"/>
          <w:marBottom w:val="0"/>
          <w:divBdr>
            <w:top w:val="none" w:sz="0" w:space="0" w:color="auto"/>
            <w:left w:val="none" w:sz="0" w:space="0" w:color="auto"/>
            <w:bottom w:val="none" w:sz="0" w:space="0" w:color="auto"/>
            <w:right w:val="none" w:sz="0" w:space="0" w:color="auto"/>
          </w:divBdr>
        </w:div>
        <w:div w:id="987630254">
          <w:marLeft w:val="0"/>
          <w:marRight w:val="0"/>
          <w:marTop w:val="0"/>
          <w:marBottom w:val="0"/>
          <w:divBdr>
            <w:top w:val="none" w:sz="0" w:space="0" w:color="auto"/>
            <w:left w:val="none" w:sz="0" w:space="0" w:color="auto"/>
            <w:bottom w:val="none" w:sz="0" w:space="0" w:color="auto"/>
            <w:right w:val="none" w:sz="0" w:space="0" w:color="auto"/>
          </w:divBdr>
        </w:div>
        <w:div w:id="1014111642">
          <w:marLeft w:val="0"/>
          <w:marRight w:val="0"/>
          <w:marTop w:val="0"/>
          <w:marBottom w:val="0"/>
          <w:divBdr>
            <w:top w:val="none" w:sz="0" w:space="0" w:color="auto"/>
            <w:left w:val="none" w:sz="0" w:space="0" w:color="auto"/>
            <w:bottom w:val="none" w:sz="0" w:space="0" w:color="auto"/>
            <w:right w:val="none" w:sz="0" w:space="0" w:color="auto"/>
          </w:divBdr>
        </w:div>
        <w:div w:id="1040284917">
          <w:marLeft w:val="0"/>
          <w:marRight w:val="0"/>
          <w:marTop w:val="0"/>
          <w:marBottom w:val="0"/>
          <w:divBdr>
            <w:top w:val="none" w:sz="0" w:space="0" w:color="auto"/>
            <w:left w:val="none" w:sz="0" w:space="0" w:color="auto"/>
            <w:bottom w:val="none" w:sz="0" w:space="0" w:color="auto"/>
            <w:right w:val="none" w:sz="0" w:space="0" w:color="auto"/>
          </w:divBdr>
        </w:div>
        <w:div w:id="1060634898">
          <w:marLeft w:val="0"/>
          <w:marRight w:val="0"/>
          <w:marTop w:val="0"/>
          <w:marBottom w:val="0"/>
          <w:divBdr>
            <w:top w:val="none" w:sz="0" w:space="0" w:color="auto"/>
            <w:left w:val="none" w:sz="0" w:space="0" w:color="auto"/>
            <w:bottom w:val="none" w:sz="0" w:space="0" w:color="auto"/>
            <w:right w:val="none" w:sz="0" w:space="0" w:color="auto"/>
          </w:divBdr>
        </w:div>
        <w:div w:id="1084910866">
          <w:marLeft w:val="0"/>
          <w:marRight w:val="0"/>
          <w:marTop w:val="0"/>
          <w:marBottom w:val="0"/>
          <w:divBdr>
            <w:top w:val="none" w:sz="0" w:space="0" w:color="auto"/>
            <w:left w:val="none" w:sz="0" w:space="0" w:color="auto"/>
            <w:bottom w:val="none" w:sz="0" w:space="0" w:color="auto"/>
            <w:right w:val="none" w:sz="0" w:space="0" w:color="auto"/>
          </w:divBdr>
        </w:div>
        <w:div w:id="1314945762">
          <w:marLeft w:val="0"/>
          <w:marRight w:val="0"/>
          <w:marTop w:val="0"/>
          <w:marBottom w:val="0"/>
          <w:divBdr>
            <w:top w:val="none" w:sz="0" w:space="0" w:color="auto"/>
            <w:left w:val="none" w:sz="0" w:space="0" w:color="auto"/>
            <w:bottom w:val="none" w:sz="0" w:space="0" w:color="auto"/>
            <w:right w:val="none" w:sz="0" w:space="0" w:color="auto"/>
          </w:divBdr>
        </w:div>
        <w:div w:id="1345739547">
          <w:marLeft w:val="0"/>
          <w:marRight w:val="0"/>
          <w:marTop w:val="0"/>
          <w:marBottom w:val="0"/>
          <w:divBdr>
            <w:top w:val="none" w:sz="0" w:space="0" w:color="auto"/>
            <w:left w:val="none" w:sz="0" w:space="0" w:color="auto"/>
            <w:bottom w:val="none" w:sz="0" w:space="0" w:color="auto"/>
            <w:right w:val="none" w:sz="0" w:space="0" w:color="auto"/>
          </w:divBdr>
        </w:div>
        <w:div w:id="1617101779">
          <w:marLeft w:val="0"/>
          <w:marRight w:val="0"/>
          <w:marTop w:val="0"/>
          <w:marBottom w:val="0"/>
          <w:divBdr>
            <w:top w:val="none" w:sz="0" w:space="0" w:color="auto"/>
            <w:left w:val="none" w:sz="0" w:space="0" w:color="auto"/>
            <w:bottom w:val="none" w:sz="0" w:space="0" w:color="auto"/>
            <w:right w:val="none" w:sz="0" w:space="0" w:color="auto"/>
          </w:divBdr>
        </w:div>
        <w:div w:id="1707637762">
          <w:marLeft w:val="0"/>
          <w:marRight w:val="0"/>
          <w:marTop w:val="0"/>
          <w:marBottom w:val="0"/>
          <w:divBdr>
            <w:top w:val="none" w:sz="0" w:space="0" w:color="auto"/>
            <w:left w:val="none" w:sz="0" w:space="0" w:color="auto"/>
            <w:bottom w:val="none" w:sz="0" w:space="0" w:color="auto"/>
            <w:right w:val="none" w:sz="0" w:space="0" w:color="auto"/>
          </w:divBdr>
        </w:div>
        <w:div w:id="1723169422">
          <w:marLeft w:val="0"/>
          <w:marRight w:val="0"/>
          <w:marTop w:val="0"/>
          <w:marBottom w:val="0"/>
          <w:divBdr>
            <w:top w:val="none" w:sz="0" w:space="0" w:color="auto"/>
            <w:left w:val="none" w:sz="0" w:space="0" w:color="auto"/>
            <w:bottom w:val="none" w:sz="0" w:space="0" w:color="auto"/>
            <w:right w:val="none" w:sz="0" w:space="0" w:color="auto"/>
          </w:divBdr>
        </w:div>
        <w:div w:id="1728990223">
          <w:marLeft w:val="0"/>
          <w:marRight w:val="0"/>
          <w:marTop w:val="0"/>
          <w:marBottom w:val="0"/>
          <w:divBdr>
            <w:top w:val="none" w:sz="0" w:space="0" w:color="auto"/>
            <w:left w:val="none" w:sz="0" w:space="0" w:color="auto"/>
            <w:bottom w:val="none" w:sz="0" w:space="0" w:color="auto"/>
            <w:right w:val="none" w:sz="0" w:space="0" w:color="auto"/>
          </w:divBdr>
        </w:div>
        <w:div w:id="1797485998">
          <w:marLeft w:val="0"/>
          <w:marRight w:val="0"/>
          <w:marTop w:val="0"/>
          <w:marBottom w:val="0"/>
          <w:divBdr>
            <w:top w:val="none" w:sz="0" w:space="0" w:color="auto"/>
            <w:left w:val="none" w:sz="0" w:space="0" w:color="auto"/>
            <w:bottom w:val="none" w:sz="0" w:space="0" w:color="auto"/>
            <w:right w:val="none" w:sz="0" w:space="0" w:color="auto"/>
          </w:divBdr>
        </w:div>
        <w:div w:id="1876845393">
          <w:marLeft w:val="0"/>
          <w:marRight w:val="0"/>
          <w:marTop w:val="0"/>
          <w:marBottom w:val="0"/>
          <w:divBdr>
            <w:top w:val="none" w:sz="0" w:space="0" w:color="auto"/>
            <w:left w:val="none" w:sz="0" w:space="0" w:color="auto"/>
            <w:bottom w:val="none" w:sz="0" w:space="0" w:color="auto"/>
            <w:right w:val="none" w:sz="0" w:space="0" w:color="auto"/>
          </w:divBdr>
        </w:div>
        <w:div w:id="1886793443">
          <w:marLeft w:val="0"/>
          <w:marRight w:val="0"/>
          <w:marTop w:val="0"/>
          <w:marBottom w:val="0"/>
          <w:divBdr>
            <w:top w:val="none" w:sz="0" w:space="0" w:color="auto"/>
            <w:left w:val="none" w:sz="0" w:space="0" w:color="auto"/>
            <w:bottom w:val="none" w:sz="0" w:space="0" w:color="auto"/>
            <w:right w:val="none" w:sz="0" w:space="0" w:color="auto"/>
          </w:divBdr>
        </w:div>
        <w:div w:id="2049526532">
          <w:marLeft w:val="0"/>
          <w:marRight w:val="0"/>
          <w:marTop w:val="0"/>
          <w:marBottom w:val="0"/>
          <w:divBdr>
            <w:top w:val="none" w:sz="0" w:space="0" w:color="auto"/>
            <w:left w:val="none" w:sz="0" w:space="0" w:color="auto"/>
            <w:bottom w:val="none" w:sz="0" w:space="0" w:color="auto"/>
            <w:right w:val="none" w:sz="0" w:space="0" w:color="auto"/>
          </w:divBdr>
        </w:div>
        <w:div w:id="2060276663">
          <w:marLeft w:val="0"/>
          <w:marRight w:val="0"/>
          <w:marTop w:val="0"/>
          <w:marBottom w:val="0"/>
          <w:divBdr>
            <w:top w:val="none" w:sz="0" w:space="0" w:color="auto"/>
            <w:left w:val="none" w:sz="0" w:space="0" w:color="auto"/>
            <w:bottom w:val="none" w:sz="0" w:space="0" w:color="auto"/>
            <w:right w:val="none" w:sz="0" w:space="0" w:color="auto"/>
          </w:divBdr>
        </w:div>
        <w:div w:id="2102294792">
          <w:marLeft w:val="0"/>
          <w:marRight w:val="0"/>
          <w:marTop w:val="0"/>
          <w:marBottom w:val="0"/>
          <w:divBdr>
            <w:top w:val="none" w:sz="0" w:space="0" w:color="auto"/>
            <w:left w:val="none" w:sz="0" w:space="0" w:color="auto"/>
            <w:bottom w:val="none" w:sz="0" w:space="0" w:color="auto"/>
            <w:right w:val="none" w:sz="0" w:space="0" w:color="auto"/>
          </w:divBdr>
        </w:div>
      </w:divsChild>
    </w:div>
    <w:div w:id="1861160208">
      <w:bodyDiv w:val="1"/>
      <w:marLeft w:val="0"/>
      <w:marRight w:val="0"/>
      <w:marTop w:val="0"/>
      <w:marBottom w:val="0"/>
      <w:divBdr>
        <w:top w:val="none" w:sz="0" w:space="0" w:color="auto"/>
        <w:left w:val="none" w:sz="0" w:space="0" w:color="auto"/>
        <w:bottom w:val="none" w:sz="0" w:space="0" w:color="auto"/>
        <w:right w:val="none" w:sz="0" w:space="0" w:color="auto"/>
      </w:divBdr>
    </w:div>
    <w:div w:id="1896043332">
      <w:bodyDiv w:val="1"/>
      <w:marLeft w:val="0"/>
      <w:marRight w:val="0"/>
      <w:marTop w:val="0"/>
      <w:marBottom w:val="0"/>
      <w:divBdr>
        <w:top w:val="none" w:sz="0" w:space="0" w:color="auto"/>
        <w:left w:val="none" w:sz="0" w:space="0" w:color="auto"/>
        <w:bottom w:val="none" w:sz="0" w:space="0" w:color="auto"/>
        <w:right w:val="none" w:sz="0" w:space="0" w:color="auto"/>
      </w:divBdr>
      <w:divsChild>
        <w:div w:id="120341411">
          <w:marLeft w:val="0"/>
          <w:marRight w:val="0"/>
          <w:marTop w:val="0"/>
          <w:marBottom w:val="0"/>
          <w:divBdr>
            <w:top w:val="none" w:sz="0" w:space="0" w:color="auto"/>
            <w:left w:val="none" w:sz="0" w:space="0" w:color="auto"/>
            <w:bottom w:val="none" w:sz="0" w:space="0" w:color="auto"/>
            <w:right w:val="none" w:sz="0" w:space="0" w:color="auto"/>
          </w:divBdr>
        </w:div>
        <w:div w:id="172378449">
          <w:marLeft w:val="0"/>
          <w:marRight w:val="0"/>
          <w:marTop w:val="0"/>
          <w:marBottom w:val="0"/>
          <w:divBdr>
            <w:top w:val="none" w:sz="0" w:space="0" w:color="auto"/>
            <w:left w:val="none" w:sz="0" w:space="0" w:color="auto"/>
            <w:bottom w:val="none" w:sz="0" w:space="0" w:color="auto"/>
            <w:right w:val="none" w:sz="0" w:space="0" w:color="auto"/>
          </w:divBdr>
        </w:div>
        <w:div w:id="175310307">
          <w:marLeft w:val="0"/>
          <w:marRight w:val="0"/>
          <w:marTop w:val="0"/>
          <w:marBottom w:val="0"/>
          <w:divBdr>
            <w:top w:val="none" w:sz="0" w:space="0" w:color="auto"/>
            <w:left w:val="none" w:sz="0" w:space="0" w:color="auto"/>
            <w:bottom w:val="none" w:sz="0" w:space="0" w:color="auto"/>
            <w:right w:val="none" w:sz="0" w:space="0" w:color="auto"/>
          </w:divBdr>
        </w:div>
        <w:div w:id="220337536">
          <w:marLeft w:val="0"/>
          <w:marRight w:val="0"/>
          <w:marTop w:val="0"/>
          <w:marBottom w:val="0"/>
          <w:divBdr>
            <w:top w:val="none" w:sz="0" w:space="0" w:color="auto"/>
            <w:left w:val="none" w:sz="0" w:space="0" w:color="auto"/>
            <w:bottom w:val="none" w:sz="0" w:space="0" w:color="auto"/>
            <w:right w:val="none" w:sz="0" w:space="0" w:color="auto"/>
          </w:divBdr>
        </w:div>
        <w:div w:id="318770607">
          <w:marLeft w:val="0"/>
          <w:marRight w:val="0"/>
          <w:marTop w:val="0"/>
          <w:marBottom w:val="0"/>
          <w:divBdr>
            <w:top w:val="none" w:sz="0" w:space="0" w:color="auto"/>
            <w:left w:val="none" w:sz="0" w:space="0" w:color="auto"/>
            <w:bottom w:val="none" w:sz="0" w:space="0" w:color="auto"/>
            <w:right w:val="none" w:sz="0" w:space="0" w:color="auto"/>
          </w:divBdr>
        </w:div>
        <w:div w:id="374889707">
          <w:marLeft w:val="0"/>
          <w:marRight w:val="0"/>
          <w:marTop w:val="0"/>
          <w:marBottom w:val="0"/>
          <w:divBdr>
            <w:top w:val="none" w:sz="0" w:space="0" w:color="auto"/>
            <w:left w:val="none" w:sz="0" w:space="0" w:color="auto"/>
            <w:bottom w:val="none" w:sz="0" w:space="0" w:color="auto"/>
            <w:right w:val="none" w:sz="0" w:space="0" w:color="auto"/>
          </w:divBdr>
        </w:div>
        <w:div w:id="465240688">
          <w:marLeft w:val="0"/>
          <w:marRight w:val="0"/>
          <w:marTop w:val="0"/>
          <w:marBottom w:val="0"/>
          <w:divBdr>
            <w:top w:val="none" w:sz="0" w:space="0" w:color="auto"/>
            <w:left w:val="none" w:sz="0" w:space="0" w:color="auto"/>
            <w:bottom w:val="none" w:sz="0" w:space="0" w:color="auto"/>
            <w:right w:val="none" w:sz="0" w:space="0" w:color="auto"/>
          </w:divBdr>
        </w:div>
        <w:div w:id="621304741">
          <w:marLeft w:val="0"/>
          <w:marRight w:val="0"/>
          <w:marTop w:val="0"/>
          <w:marBottom w:val="0"/>
          <w:divBdr>
            <w:top w:val="none" w:sz="0" w:space="0" w:color="auto"/>
            <w:left w:val="none" w:sz="0" w:space="0" w:color="auto"/>
            <w:bottom w:val="none" w:sz="0" w:space="0" w:color="auto"/>
            <w:right w:val="none" w:sz="0" w:space="0" w:color="auto"/>
          </w:divBdr>
        </w:div>
        <w:div w:id="632952532">
          <w:marLeft w:val="0"/>
          <w:marRight w:val="0"/>
          <w:marTop w:val="0"/>
          <w:marBottom w:val="0"/>
          <w:divBdr>
            <w:top w:val="none" w:sz="0" w:space="0" w:color="auto"/>
            <w:left w:val="none" w:sz="0" w:space="0" w:color="auto"/>
            <w:bottom w:val="none" w:sz="0" w:space="0" w:color="auto"/>
            <w:right w:val="none" w:sz="0" w:space="0" w:color="auto"/>
          </w:divBdr>
        </w:div>
        <w:div w:id="919561800">
          <w:marLeft w:val="0"/>
          <w:marRight w:val="0"/>
          <w:marTop w:val="0"/>
          <w:marBottom w:val="0"/>
          <w:divBdr>
            <w:top w:val="none" w:sz="0" w:space="0" w:color="auto"/>
            <w:left w:val="none" w:sz="0" w:space="0" w:color="auto"/>
            <w:bottom w:val="none" w:sz="0" w:space="0" w:color="auto"/>
            <w:right w:val="none" w:sz="0" w:space="0" w:color="auto"/>
          </w:divBdr>
        </w:div>
        <w:div w:id="940264148">
          <w:marLeft w:val="0"/>
          <w:marRight w:val="0"/>
          <w:marTop w:val="0"/>
          <w:marBottom w:val="0"/>
          <w:divBdr>
            <w:top w:val="none" w:sz="0" w:space="0" w:color="auto"/>
            <w:left w:val="none" w:sz="0" w:space="0" w:color="auto"/>
            <w:bottom w:val="none" w:sz="0" w:space="0" w:color="auto"/>
            <w:right w:val="none" w:sz="0" w:space="0" w:color="auto"/>
          </w:divBdr>
        </w:div>
        <w:div w:id="942228314">
          <w:marLeft w:val="0"/>
          <w:marRight w:val="0"/>
          <w:marTop w:val="0"/>
          <w:marBottom w:val="0"/>
          <w:divBdr>
            <w:top w:val="none" w:sz="0" w:space="0" w:color="auto"/>
            <w:left w:val="none" w:sz="0" w:space="0" w:color="auto"/>
            <w:bottom w:val="none" w:sz="0" w:space="0" w:color="auto"/>
            <w:right w:val="none" w:sz="0" w:space="0" w:color="auto"/>
          </w:divBdr>
        </w:div>
        <w:div w:id="1018117596">
          <w:marLeft w:val="0"/>
          <w:marRight w:val="0"/>
          <w:marTop w:val="0"/>
          <w:marBottom w:val="0"/>
          <w:divBdr>
            <w:top w:val="none" w:sz="0" w:space="0" w:color="auto"/>
            <w:left w:val="none" w:sz="0" w:space="0" w:color="auto"/>
            <w:bottom w:val="none" w:sz="0" w:space="0" w:color="auto"/>
            <w:right w:val="none" w:sz="0" w:space="0" w:color="auto"/>
          </w:divBdr>
        </w:div>
        <w:div w:id="1159073689">
          <w:marLeft w:val="0"/>
          <w:marRight w:val="0"/>
          <w:marTop w:val="0"/>
          <w:marBottom w:val="0"/>
          <w:divBdr>
            <w:top w:val="none" w:sz="0" w:space="0" w:color="auto"/>
            <w:left w:val="none" w:sz="0" w:space="0" w:color="auto"/>
            <w:bottom w:val="none" w:sz="0" w:space="0" w:color="auto"/>
            <w:right w:val="none" w:sz="0" w:space="0" w:color="auto"/>
          </w:divBdr>
        </w:div>
        <w:div w:id="1360666550">
          <w:marLeft w:val="0"/>
          <w:marRight w:val="0"/>
          <w:marTop w:val="0"/>
          <w:marBottom w:val="0"/>
          <w:divBdr>
            <w:top w:val="none" w:sz="0" w:space="0" w:color="auto"/>
            <w:left w:val="none" w:sz="0" w:space="0" w:color="auto"/>
            <w:bottom w:val="none" w:sz="0" w:space="0" w:color="auto"/>
            <w:right w:val="none" w:sz="0" w:space="0" w:color="auto"/>
          </w:divBdr>
        </w:div>
        <w:div w:id="1431045597">
          <w:marLeft w:val="0"/>
          <w:marRight w:val="0"/>
          <w:marTop w:val="0"/>
          <w:marBottom w:val="0"/>
          <w:divBdr>
            <w:top w:val="none" w:sz="0" w:space="0" w:color="auto"/>
            <w:left w:val="none" w:sz="0" w:space="0" w:color="auto"/>
            <w:bottom w:val="none" w:sz="0" w:space="0" w:color="auto"/>
            <w:right w:val="none" w:sz="0" w:space="0" w:color="auto"/>
          </w:divBdr>
        </w:div>
        <w:div w:id="1978492607">
          <w:marLeft w:val="0"/>
          <w:marRight w:val="0"/>
          <w:marTop w:val="0"/>
          <w:marBottom w:val="0"/>
          <w:divBdr>
            <w:top w:val="none" w:sz="0" w:space="0" w:color="auto"/>
            <w:left w:val="none" w:sz="0" w:space="0" w:color="auto"/>
            <w:bottom w:val="none" w:sz="0" w:space="0" w:color="auto"/>
            <w:right w:val="none" w:sz="0" w:space="0" w:color="auto"/>
          </w:divBdr>
        </w:div>
        <w:div w:id="2050299214">
          <w:marLeft w:val="0"/>
          <w:marRight w:val="0"/>
          <w:marTop w:val="0"/>
          <w:marBottom w:val="0"/>
          <w:divBdr>
            <w:top w:val="none" w:sz="0" w:space="0" w:color="auto"/>
            <w:left w:val="none" w:sz="0" w:space="0" w:color="auto"/>
            <w:bottom w:val="none" w:sz="0" w:space="0" w:color="auto"/>
            <w:right w:val="none" w:sz="0" w:space="0" w:color="auto"/>
          </w:divBdr>
        </w:div>
      </w:divsChild>
    </w:div>
    <w:div w:id="2129085080">
      <w:bodyDiv w:val="1"/>
      <w:marLeft w:val="0"/>
      <w:marRight w:val="0"/>
      <w:marTop w:val="0"/>
      <w:marBottom w:val="0"/>
      <w:divBdr>
        <w:top w:val="none" w:sz="0" w:space="0" w:color="auto"/>
        <w:left w:val="none" w:sz="0" w:space="0" w:color="auto"/>
        <w:bottom w:val="none" w:sz="0" w:space="0" w:color="auto"/>
        <w:right w:val="none" w:sz="0" w:space="0" w:color="auto"/>
      </w:divBdr>
      <w:divsChild>
        <w:div w:id="195242779">
          <w:marLeft w:val="0"/>
          <w:marRight w:val="0"/>
          <w:marTop w:val="0"/>
          <w:marBottom w:val="0"/>
          <w:divBdr>
            <w:top w:val="none" w:sz="0" w:space="0" w:color="auto"/>
            <w:left w:val="none" w:sz="0" w:space="0" w:color="auto"/>
            <w:bottom w:val="none" w:sz="0" w:space="0" w:color="auto"/>
            <w:right w:val="none" w:sz="0" w:space="0" w:color="auto"/>
          </w:divBdr>
          <w:divsChild>
            <w:div w:id="455372734">
              <w:marLeft w:val="0"/>
              <w:marRight w:val="0"/>
              <w:marTop w:val="0"/>
              <w:marBottom w:val="0"/>
              <w:divBdr>
                <w:top w:val="none" w:sz="0" w:space="0" w:color="auto"/>
                <w:left w:val="none" w:sz="0" w:space="0" w:color="auto"/>
                <w:bottom w:val="none" w:sz="0" w:space="0" w:color="auto"/>
                <w:right w:val="none" w:sz="0" w:space="0" w:color="auto"/>
              </w:divBdr>
            </w:div>
            <w:div w:id="1142652023">
              <w:marLeft w:val="0"/>
              <w:marRight w:val="0"/>
              <w:marTop w:val="0"/>
              <w:marBottom w:val="0"/>
              <w:divBdr>
                <w:top w:val="none" w:sz="0" w:space="0" w:color="auto"/>
                <w:left w:val="none" w:sz="0" w:space="0" w:color="auto"/>
                <w:bottom w:val="none" w:sz="0" w:space="0" w:color="auto"/>
                <w:right w:val="none" w:sz="0" w:space="0" w:color="auto"/>
              </w:divBdr>
            </w:div>
          </w:divsChild>
        </w:div>
        <w:div w:id="527837919">
          <w:marLeft w:val="0"/>
          <w:marRight w:val="0"/>
          <w:marTop w:val="0"/>
          <w:marBottom w:val="0"/>
          <w:divBdr>
            <w:top w:val="none" w:sz="0" w:space="0" w:color="auto"/>
            <w:left w:val="none" w:sz="0" w:space="0" w:color="auto"/>
            <w:bottom w:val="none" w:sz="0" w:space="0" w:color="auto"/>
            <w:right w:val="none" w:sz="0" w:space="0" w:color="auto"/>
          </w:divBdr>
          <w:divsChild>
            <w:div w:id="1743871520">
              <w:marLeft w:val="0"/>
              <w:marRight w:val="0"/>
              <w:marTop w:val="0"/>
              <w:marBottom w:val="0"/>
              <w:divBdr>
                <w:top w:val="none" w:sz="0" w:space="0" w:color="auto"/>
                <w:left w:val="none" w:sz="0" w:space="0" w:color="auto"/>
                <w:bottom w:val="none" w:sz="0" w:space="0" w:color="auto"/>
                <w:right w:val="none" w:sz="0" w:space="0" w:color="auto"/>
              </w:divBdr>
            </w:div>
            <w:div w:id="1957364596">
              <w:marLeft w:val="0"/>
              <w:marRight w:val="0"/>
              <w:marTop w:val="0"/>
              <w:marBottom w:val="0"/>
              <w:divBdr>
                <w:top w:val="none" w:sz="0" w:space="0" w:color="auto"/>
                <w:left w:val="none" w:sz="0" w:space="0" w:color="auto"/>
                <w:bottom w:val="none" w:sz="0" w:space="0" w:color="auto"/>
                <w:right w:val="none" w:sz="0" w:space="0" w:color="auto"/>
              </w:divBdr>
            </w:div>
          </w:divsChild>
        </w:div>
        <w:div w:id="1180466118">
          <w:marLeft w:val="0"/>
          <w:marRight w:val="0"/>
          <w:marTop w:val="0"/>
          <w:marBottom w:val="0"/>
          <w:divBdr>
            <w:top w:val="none" w:sz="0" w:space="0" w:color="auto"/>
            <w:left w:val="none" w:sz="0" w:space="0" w:color="auto"/>
            <w:bottom w:val="none" w:sz="0" w:space="0" w:color="auto"/>
            <w:right w:val="none" w:sz="0" w:space="0" w:color="auto"/>
          </w:divBdr>
          <w:divsChild>
            <w:div w:id="1823964544">
              <w:marLeft w:val="0"/>
              <w:marRight w:val="0"/>
              <w:marTop w:val="0"/>
              <w:marBottom w:val="0"/>
              <w:divBdr>
                <w:top w:val="none" w:sz="0" w:space="0" w:color="auto"/>
                <w:left w:val="none" w:sz="0" w:space="0" w:color="auto"/>
                <w:bottom w:val="none" w:sz="0" w:space="0" w:color="auto"/>
                <w:right w:val="none" w:sz="0" w:space="0" w:color="auto"/>
              </w:divBdr>
            </w:div>
            <w:div w:id="2123498516">
              <w:marLeft w:val="0"/>
              <w:marRight w:val="0"/>
              <w:marTop w:val="0"/>
              <w:marBottom w:val="0"/>
              <w:divBdr>
                <w:top w:val="none" w:sz="0" w:space="0" w:color="auto"/>
                <w:left w:val="none" w:sz="0" w:space="0" w:color="auto"/>
                <w:bottom w:val="none" w:sz="0" w:space="0" w:color="auto"/>
                <w:right w:val="none" w:sz="0" w:space="0" w:color="auto"/>
              </w:divBdr>
            </w:div>
          </w:divsChild>
        </w:div>
        <w:div w:id="1964190809">
          <w:marLeft w:val="0"/>
          <w:marRight w:val="0"/>
          <w:marTop w:val="0"/>
          <w:marBottom w:val="0"/>
          <w:divBdr>
            <w:top w:val="none" w:sz="0" w:space="0" w:color="auto"/>
            <w:left w:val="none" w:sz="0" w:space="0" w:color="auto"/>
            <w:bottom w:val="none" w:sz="0" w:space="0" w:color="auto"/>
            <w:right w:val="none" w:sz="0" w:space="0" w:color="auto"/>
          </w:divBdr>
          <w:divsChild>
            <w:div w:id="517236794">
              <w:marLeft w:val="0"/>
              <w:marRight w:val="0"/>
              <w:marTop w:val="0"/>
              <w:marBottom w:val="0"/>
              <w:divBdr>
                <w:top w:val="none" w:sz="0" w:space="0" w:color="auto"/>
                <w:left w:val="none" w:sz="0" w:space="0" w:color="auto"/>
                <w:bottom w:val="none" w:sz="0" w:space="0" w:color="auto"/>
                <w:right w:val="none" w:sz="0" w:space="0" w:color="auto"/>
              </w:divBdr>
            </w:div>
            <w:div w:id="564297119">
              <w:marLeft w:val="0"/>
              <w:marRight w:val="0"/>
              <w:marTop w:val="0"/>
              <w:marBottom w:val="0"/>
              <w:divBdr>
                <w:top w:val="none" w:sz="0" w:space="0" w:color="auto"/>
                <w:left w:val="none" w:sz="0" w:space="0" w:color="auto"/>
                <w:bottom w:val="none" w:sz="0" w:space="0" w:color="auto"/>
                <w:right w:val="none" w:sz="0" w:space="0" w:color="auto"/>
              </w:divBdr>
            </w:div>
            <w:div w:id="1949850484">
              <w:marLeft w:val="0"/>
              <w:marRight w:val="0"/>
              <w:marTop w:val="0"/>
              <w:marBottom w:val="0"/>
              <w:divBdr>
                <w:top w:val="none" w:sz="0" w:space="0" w:color="auto"/>
                <w:left w:val="none" w:sz="0" w:space="0" w:color="auto"/>
                <w:bottom w:val="none" w:sz="0" w:space="0" w:color="auto"/>
                <w:right w:val="none" w:sz="0" w:space="0" w:color="auto"/>
              </w:divBdr>
            </w:div>
            <w:div w:id="20297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court.state.nh.us/rsa/html/LXIV/672/672-1.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hfa.org/wp-content/uploads/2020/04/RSA-674-58-6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A823C5CE1CF418BC263D072E48616" ma:contentTypeVersion="17" ma:contentTypeDescription="Create a new document." ma:contentTypeScope="" ma:versionID="947101e683da0c5ec746e86f055d7798">
  <xsd:schema xmlns:xsd="http://www.w3.org/2001/XMLSchema" xmlns:xs="http://www.w3.org/2001/XMLSchema" xmlns:p="http://schemas.microsoft.com/office/2006/metadata/properties" xmlns:ns2="e4378724-37f3-452e-a496-e27e567adfef" xmlns:ns3="63170709-67e8-44e6-b7b9-be6b783cc833" targetNamespace="http://schemas.microsoft.com/office/2006/metadata/properties" ma:root="true" ma:fieldsID="778c6cc522495d77b01d46d8370e8c12" ns2:_="" ns3:_="">
    <xsd:import namespace="e4378724-37f3-452e-a496-e27e567adfef"/>
    <xsd:import namespace="63170709-67e8-44e6-b7b9-be6b783cc8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724-37f3-452e-a496-e27e567a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e4257e-ca6c-4e23-adb4-be82078b23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170709-67e8-44e6-b7b9-be6b783cc8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98a4d-e9c2-445d-afc0-20c90ba43dc5}" ma:internalName="TaxCatchAll" ma:showField="CatchAllData" ma:web="63170709-67e8-44e6-b7b9-be6b783cc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170709-67e8-44e6-b7b9-be6b783cc833" xsi:nil="true"/>
    <lcf76f155ced4ddcb4097134ff3c332f xmlns="e4378724-37f3-452e-a496-e27e567adf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8A2C-0F70-4B0A-ABEA-CE3966BE0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724-37f3-452e-a496-e27e567adfef"/>
    <ds:schemaRef ds:uri="63170709-67e8-44e6-b7b9-be6b783cc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151B8-8AA1-452A-9DCD-ECC021A1DE49}">
  <ds:schemaRefs>
    <ds:schemaRef ds:uri="http://schemas.microsoft.com/office/2006/metadata/properties"/>
    <ds:schemaRef ds:uri="http://schemas.microsoft.com/office/infopath/2007/PartnerControls"/>
    <ds:schemaRef ds:uri="63170709-67e8-44e6-b7b9-be6b783cc833"/>
    <ds:schemaRef ds:uri="e4378724-37f3-452e-a496-e27e567adfef"/>
  </ds:schemaRefs>
</ds:datastoreItem>
</file>

<file path=customXml/itemProps3.xml><?xml version="1.0" encoding="utf-8"?>
<ds:datastoreItem xmlns:ds="http://schemas.openxmlformats.org/officeDocument/2006/customXml" ds:itemID="{7CCEAF6C-2AC3-443C-8BAB-A08FFED1663F}">
  <ds:schemaRefs>
    <ds:schemaRef ds:uri="http://schemas.microsoft.com/sharepoint/v3/contenttype/forms"/>
  </ds:schemaRefs>
</ds:datastoreItem>
</file>

<file path=customXml/itemProps4.xml><?xml version="1.0" encoding="utf-8"?>
<ds:datastoreItem xmlns:ds="http://schemas.openxmlformats.org/officeDocument/2006/customXml" ds:itemID="{88106125-20E5-45E7-8BC8-5D7CB05B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4588</Words>
  <Characters>26153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30680</CharactersWithSpaces>
  <SharedDoc>false</SharedDoc>
  <HLinks>
    <vt:vector size="24" baseType="variant">
      <vt:variant>
        <vt:i4>3866749</vt:i4>
      </vt:variant>
      <vt:variant>
        <vt:i4>3</vt:i4>
      </vt:variant>
      <vt:variant>
        <vt:i4>0</vt:i4>
      </vt:variant>
      <vt:variant>
        <vt:i4>5</vt:i4>
      </vt:variant>
      <vt:variant>
        <vt:lpwstr>http://www.gencourt.state.nh.us/rsa/html/LXIV/672/672-1.htm</vt:lpwstr>
      </vt:variant>
      <vt:variant>
        <vt:lpwstr/>
      </vt:variant>
      <vt:variant>
        <vt:i4>6750308</vt:i4>
      </vt:variant>
      <vt:variant>
        <vt:i4>0</vt:i4>
      </vt:variant>
      <vt:variant>
        <vt:i4>0</vt:i4>
      </vt:variant>
      <vt:variant>
        <vt:i4>5</vt:i4>
      </vt:variant>
      <vt:variant>
        <vt:lpwstr>https://www.nhhfa.org/wp-content/uploads/2020/04/RSA-674-58-61.pdf</vt:lpwstr>
      </vt:variant>
      <vt:variant>
        <vt:lpwstr/>
      </vt:variant>
      <vt:variant>
        <vt:i4>7667760</vt:i4>
      </vt:variant>
      <vt:variant>
        <vt:i4>3</vt:i4>
      </vt:variant>
      <vt:variant>
        <vt:i4>0</vt:i4>
      </vt:variant>
      <vt:variant>
        <vt:i4>5</vt:i4>
      </vt:variant>
      <vt:variant>
        <vt:lpwstr>https://www.nhhfa.org/wp-content/uploads/2023/07/NHH-2023-Res-Rental-Survey-Report.pdf</vt:lpwstr>
      </vt:variant>
      <vt:variant>
        <vt:lpwstr/>
      </vt:variant>
      <vt:variant>
        <vt:i4>5636168</vt:i4>
      </vt:variant>
      <vt:variant>
        <vt:i4>0</vt:i4>
      </vt:variant>
      <vt:variant>
        <vt:i4>0</vt:i4>
      </vt:variant>
      <vt:variant>
        <vt:i4>5</vt:i4>
      </vt:variant>
      <vt:variant>
        <vt:lpwstr>https://www.zillow.com/home-values/398429/hampton-nh/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Tatarczuk</dc:creator>
  <cp:keywords/>
  <dc:description/>
  <cp:lastModifiedBy>Glenn Greenwood</cp:lastModifiedBy>
  <cp:revision>2</cp:revision>
  <cp:lastPrinted>2023-02-10T02:30:00Z</cp:lastPrinted>
  <dcterms:created xsi:type="dcterms:W3CDTF">2025-02-05T15:27:00Z</dcterms:created>
  <dcterms:modified xsi:type="dcterms:W3CDTF">2025-02-05T15:27:00Z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0x010100F8EA823C5CE1CF418BC263D072E48616</vt:lpwstr>
  </property>
  <property fmtid="{D5CDD505-2E9C-101B-9397-08002B2CF9AE}" pid="3" name="MediaServiceImageTags">
    <vt:lpwstr/>
  </property>
</Properties>
</file>