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61004A4" wp14:paraId="25801A8C" wp14:textId="64150F1C">
      <w:pPr>
        <w:pStyle w:val="Title"/>
        <w:spacing w:after="8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</w:pPr>
      <w:r w:rsidRPr="161004A4" w:rsidR="222D8A59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 xml:space="preserve">        Town of Brentwood NH Planning Board </w:t>
      </w:r>
    </w:p>
    <w:p xmlns:wp14="http://schemas.microsoft.com/office/word/2010/wordml" w:rsidP="161004A4" wp14:paraId="789393DE" wp14:textId="3C3C27BC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61004A4" w:rsidR="222D8A5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                                      1 Dalton Road Brentwood NH 03833</w:t>
      </w:r>
    </w:p>
    <w:p xmlns:wp14="http://schemas.microsoft.com/office/word/2010/wordml" w:rsidP="161004A4" wp14:paraId="13BE1D41" wp14:textId="03F09D52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1004A4" w:rsidR="222D8A5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603-642-6400 ex 116                                                                                </w:t>
      </w:r>
      <w:hyperlink r:id="R09bdbdde5a8f4280">
        <w:r w:rsidRPr="161004A4" w:rsidR="222D8A59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ES"/>
          </w:rPr>
          <w:t>mkennedy@brentwoodnh.gov</w:t>
        </w:r>
      </w:hyperlink>
      <w:r w:rsidRPr="161004A4" w:rsidR="222D8A5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____________________________________________________________________________________</w:t>
      </w:r>
    </w:p>
    <w:p xmlns:wp14="http://schemas.microsoft.com/office/word/2010/wordml" w:rsidP="161004A4" wp14:paraId="68233BC5" wp14:textId="6D56FDE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61004A4" w:rsidR="222D8A5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                                         </w:t>
      </w:r>
      <w:r w:rsidRPr="161004A4" w:rsidR="222D8A5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Meeting Minutes 1/16/25</w:t>
      </w:r>
    </w:p>
    <w:p xmlns:wp14="http://schemas.microsoft.com/office/word/2010/wordml" w:rsidP="161004A4" wp14:paraId="4A4AA8D5" wp14:textId="252A586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1004A4" w:rsidR="222D8A5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Attendanc</w:t>
      </w:r>
      <w:r w:rsidRPr="161004A4" w:rsidR="4A36E13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e: K Aldred (Chair), S Kizza (V</w:t>
      </w:r>
      <w:r w:rsidRPr="161004A4" w:rsidR="5A0900D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ice Chair, Remote), L Bedard (SBR), </w:t>
      </w:r>
      <w:r w:rsidRPr="161004A4" w:rsidR="3DC8B4F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 Finan, D Marino, B Stevens, B West (ALT</w:t>
      </w:r>
      <w:r w:rsidRPr="161004A4" w:rsidR="7F1B74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), G Greenwood (TP), M Kennedy (LUA)</w:t>
      </w:r>
    </w:p>
    <w:p xmlns:wp14="http://schemas.microsoft.com/office/word/2010/wordml" w:rsidP="161004A4" wp14:paraId="13DE1BD0" wp14:textId="4229BE8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1004A4" w:rsidR="1C593AB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Meeting opens 7:02 pm</w:t>
      </w:r>
    </w:p>
    <w:p xmlns:wp14="http://schemas.microsoft.com/office/word/2010/wordml" w:rsidP="161004A4" wp14:paraId="5F786017" wp14:textId="2F8AC2B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1004A4" w:rsidR="7E004F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Motion B stevens, to allow S Kizza to </w:t>
      </w:r>
      <w:r w:rsidRPr="161004A4" w:rsidR="7E004F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participate</w:t>
      </w:r>
      <w:r w:rsidRPr="161004A4" w:rsidR="7E004F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61004A4" w:rsidR="01BBEB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remotely. Second D Finan, motion passes all in favor</w:t>
      </w:r>
      <w:r w:rsidRPr="161004A4" w:rsidR="4C0755C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xmlns:wp14="http://schemas.microsoft.com/office/word/2010/wordml" w:rsidP="161004A4" wp14:paraId="31BD73C7" wp14:textId="4D8BCA1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1004A4" w:rsidR="3078AF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Steve Whitman and Mark </w:t>
      </w:r>
      <w:r w:rsidRPr="161004A4" w:rsidR="1A42A6F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Fougere from Resilience </w:t>
      </w:r>
      <w:r w:rsidRPr="161004A4" w:rsidR="287B4B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Planning &amp; Design me</w:t>
      </w:r>
      <w:r w:rsidRPr="161004A4" w:rsidR="4FAF4A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161004A4" w:rsidR="287B4B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with </w:t>
      </w:r>
      <w:r w:rsidRPr="161004A4" w:rsidR="4801144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board</w:t>
      </w:r>
      <w:r w:rsidRPr="161004A4" w:rsidR="287B4B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</w:t>
      </w:r>
      <w:r w:rsidRPr="161004A4" w:rsidR="3F5649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formulate a strategic plan </w:t>
      </w:r>
      <w:r w:rsidRPr="161004A4" w:rsidR="33A4F4D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 move forward</w:t>
      </w:r>
      <w:r w:rsidRPr="161004A4" w:rsidR="21A8DD2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with Zoning updates</w:t>
      </w:r>
      <w:r w:rsidRPr="161004A4" w:rsidR="33A4F4D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using the grant funds awarded to the Town of Brentwood. </w:t>
      </w:r>
      <w:r w:rsidRPr="161004A4" w:rsidR="2B75BC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 round table introduction of board </w:t>
      </w:r>
      <w:r w:rsidRPr="161004A4" w:rsidR="0F583E3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members</w:t>
      </w:r>
      <w:r w:rsidRPr="161004A4" w:rsidR="2B75BC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what each individual </w:t>
      </w:r>
      <w:r w:rsidRPr="161004A4" w:rsidR="6925E88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Planning Board member would like to focus on. </w:t>
      </w:r>
      <w:r w:rsidRPr="161004A4" w:rsidR="758A03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highly informative</w:t>
      </w:r>
      <w:r w:rsidRPr="161004A4" w:rsidR="79DD8A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discussion and plan to move for</w:t>
      </w:r>
      <w:r w:rsidRPr="161004A4" w:rsidR="50F34B9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ward </w:t>
      </w:r>
      <w:r w:rsidRPr="161004A4" w:rsidR="6E1934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is formulated and provided below</w:t>
      </w:r>
      <w:r w:rsidRPr="161004A4" w:rsidR="064E1C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xmlns:wp14="http://schemas.microsoft.com/office/word/2010/wordml" w:rsidP="161004A4" wp14:paraId="22C6F8C5" wp14:textId="2BAAD62E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1004A4" w:rsidR="53F1B611">
        <w:rPr>
          <w:rFonts w:ascii="Aptos" w:hAnsi="Aptos" w:eastAsia="Aptos" w:cs="Aptos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This will begin with a review of the excising land use regulations and will then</w:t>
      </w:r>
      <w:r w:rsidRPr="161004A4" w:rsidR="3C050733">
        <w:rPr>
          <w:rFonts w:ascii="Aptos" w:hAnsi="Aptos" w:eastAsia="Aptos" w:cs="Aptos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161004A4" w:rsidR="53F1B611">
        <w:rPr>
          <w:rFonts w:ascii="Aptos" w:hAnsi="Aptos" w:eastAsia="Aptos" w:cs="Aptos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include:</w:t>
      </w:r>
      <w:r>
        <w:br/>
      </w:r>
      <w:r w:rsidRPr="161004A4" w:rsidR="53F1B61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Creating a </w:t>
      </w:r>
      <w:r w:rsidRPr="161004A4" w:rsidR="53F1B611">
        <w:rPr>
          <w:rFonts w:ascii="Aptos" w:hAnsi="Aptos" w:eastAsia="Aptos" w:cs="Aptos"/>
          <w:b w:val="1"/>
          <w:bCs w:val="1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workforce housing ordinance </w:t>
      </w:r>
      <w:r w:rsidRPr="161004A4" w:rsidR="53F1B61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  <w:t>to help ensure compliance with NH RSA</w:t>
      </w:r>
      <w:r>
        <w:br/>
      </w:r>
      <w:r w:rsidRPr="161004A4" w:rsidR="53F1B61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  <w:t>674:58-61, which requires municipalities to provide reasonable and realistic</w:t>
      </w:r>
      <w:r>
        <w:br/>
      </w:r>
      <w:r w:rsidRPr="161004A4" w:rsidR="53F1B61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  <w:t>opportunities for workforce housing.</w:t>
      </w:r>
      <w:r>
        <w:br/>
      </w:r>
      <w:r w:rsidRPr="161004A4" w:rsidR="53F1B611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o </w:t>
      </w:r>
      <w:r w:rsidRPr="161004A4" w:rsidR="53F1B61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Deliverables: New ordinance; </w:t>
      </w:r>
      <w:r w:rsidRPr="161004A4" w:rsidR="53F1B61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  <w:t>warrant</w:t>
      </w:r>
      <w:r w:rsidRPr="161004A4" w:rsidR="53F1B61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 article.</w:t>
      </w:r>
      <w:r>
        <w:br/>
      </w:r>
      <w:r w:rsidRPr="161004A4" w:rsidR="53F1B611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o </w:t>
      </w:r>
      <w:r w:rsidRPr="161004A4" w:rsidR="53F1B61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  <w:t>Jan.-April. 2025</w:t>
      </w:r>
      <w:r>
        <w:br/>
      </w:r>
      <w:r w:rsidRPr="161004A4" w:rsidR="53F1B61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Revising the Town’s </w:t>
      </w:r>
      <w:r w:rsidRPr="161004A4" w:rsidR="53F1B611">
        <w:rPr>
          <w:rFonts w:ascii="Aptos" w:hAnsi="Aptos" w:eastAsia="Aptos" w:cs="Aptos"/>
          <w:b w:val="1"/>
          <w:bCs w:val="1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multi-family district </w:t>
      </w:r>
      <w:r w:rsidRPr="161004A4" w:rsidR="53F1B61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  <w:t>and exploring potential changes that</w:t>
      </w:r>
      <w:r>
        <w:br/>
      </w:r>
      <w:r w:rsidRPr="161004A4" w:rsidR="53F1B61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  <w:t>would allow mixed-use development in the commercial district and/or other</w:t>
      </w:r>
      <w:r>
        <w:br/>
      </w:r>
      <w:r w:rsidRPr="161004A4" w:rsidR="53F1B61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  <w:t>avenues to enable multi-family development consistent with the community’s</w:t>
      </w:r>
      <w:r>
        <w:br/>
      </w:r>
      <w:r w:rsidRPr="161004A4" w:rsidR="53F1B61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  <w:t>needs.</w:t>
      </w:r>
      <w:r>
        <w:br/>
      </w:r>
      <w:r w:rsidRPr="161004A4" w:rsidR="53F1B611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o </w:t>
      </w:r>
      <w:r w:rsidRPr="161004A4" w:rsidR="53F1B61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Deliverables: Revised ordinance(s); </w:t>
      </w:r>
      <w:r w:rsidRPr="161004A4" w:rsidR="53F1B61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  <w:t>warrant</w:t>
      </w:r>
      <w:r w:rsidRPr="161004A4" w:rsidR="53F1B61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 article(s).</w:t>
      </w:r>
      <w:r>
        <w:br/>
      </w:r>
      <w:r w:rsidRPr="161004A4" w:rsidR="53F1B611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o </w:t>
      </w:r>
      <w:r w:rsidRPr="161004A4" w:rsidR="53F1B61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  <w:t>Jan.-April. 2025</w:t>
      </w:r>
      <w:r>
        <w:br/>
      </w:r>
      <w:r w:rsidRPr="161004A4" w:rsidR="53F1B61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Revising the Town’s ordinance to allow for detached </w:t>
      </w:r>
      <w:r w:rsidRPr="161004A4" w:rsidR="53F1B611">
        <w:rPr>
          <w:rFonts w:ascii="Aptos" w:hAnsi="Aptos" w:eastAsia="Aptos" w:cs="Aptos"/>
          <w:b w:val="1"/>
          <w:bCs w:val="1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ADUs </w:t>
      </w:r>
      <w:r w:rsidRPr="161004A4" w:rsidR="53F1B61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  <w:t>and/or ADUs within</w:t>
      </w:r>
      <w:r>
        <w:br/>
      </w:r>
      <w:r w:rsidRPr="161004A4" w:rsidR="53F1B61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  <w:t>existing detached structures, while being responsive to residents’ preferences.</w:t>
      </w:r>
      <w:r>
        <w:br/>
      </w:r>
      <w:r w:rsidRPr="161004A4" w:rsidR="53F1B611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o </w:t>
      </w:r>
      <w:r w:rsidRPr="161004A4" w:rsidR="53F1B61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Deliverables: Revised ordinance; </w:t>
      </w:r>
      <w:r w:rsidRPr="161004A4" w:rsidR="53F1B61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  <w:t>warrant</w:t>
      </w:r>
      <w:r w:rsidRPr="161004A4" w:rsidR="53F1B61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 article.</w:t>
      </w:r>
      <w:r>
        <w:br/>
      </w:r>
      <w:r w:rsidRPr="161004A4" w:rsidR="53F1B611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o </w:t>
      </w:r>
      <w:r w:rsidRPr="161004A4" w:rsidR="53F1B61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  <w:t>Jan.-April. 2025</w:t>
      </w:r>
      <w:r>
        <w:br/>
      </w:r>
      <w:r w:rsidRPr="161004A4" w:rsidR="53F1B61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Considering the creation of a </w:t>
      </w:r>
      <w:r w:rsidRPr="161004A4" w:rsidR="53F1B611">
        <w:rPr>
          <w:rFonts w:ascii="Aptos" w:hAnsi="Aptos" w:eastAsia="Aptos" w:cs="Aptos"/>
          <w:b w:val="1"/>
          <w:bCs w:val="1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  <w:t>Transfer of Development Rights (TDR) framework</w:t>
      </w:r>
      <w:r>
        <w:br/>
      </w:r>
      <w:r w:rsidRPr="161004A4" w:rsidR="53F1B61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  <w:t>that could help address housing needs while conserving land.</w:t>
      </w:r>
      <w:r>
        <w:br/>
      </w:r>
      <w:r w:rsidRPr="161004A4" w:rsidR="53F1B611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o </w:t>
      </w:r>
      <w:r w:rsidRPr="161004A4" w:rsidR="53F1B61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  <w:t>Deliverables: Recommendations and/or proposed framework.</w:t>
      </w:r>
      <w:r w:rsidRPr="161004A4" w:rsidR="53F1B61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>
        <w:br/>
      </w:r>
      <w:r w:rsidRPr="161004A4" w:rsidR="67E22468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o </w:t>
      </w:r>
      <w:r w:rsidRPr="161004A4" w:rsidR="67E2246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  <w:t>Jan.-April. 2025</w:t>
      </w:r>
      <w:r>
        <w:br/>
      </w:r>
      <w:r w:rsidRPr="161004A4" w:rsidR="67E22468">
        <w:rPr>
          <w:rFonts w:ascii="Aptos" w:hAnsi="Aptos" w:eastAsia="Aptos" w:cs="Aptos"/>
          <w:b w:val="1"/>
          <w:bCs w:val="1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Meeting(s) </w:t>
      </w:r>
      <w:r w:rsidRPr="161004A4" w:rsidR="67E2246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  <w:t>to review draft ordinances, provide input, revise</w:t>
      </w:r>
      <w:r>
        <w:br/>
      </w:r>
      <w:r w:rsidRPr="161004A4" w:rsidR="67E22468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o </w:t>
      </w:r>
      <w:r w:rsidRPr="161004A4" w:rsidR="67E2246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  <w:t>May - June 2025</w:t>
      </w:r>
      <w:r>
        <w:br/>
      </w:r>
      <w:r w:rsidRPr="161004A4" w:rsidR="67E22468">
        <w:rPr>
          <w:rFonts w:ascii="Aptos" w:hAnsi="Aptos" w:eastAsia="Aptos" w:cs="Aptos"/>
          <w:b w:val="1"/>
          <w:bCs w:val="1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  <w:t>Non-regulatory Initiatives</w:t>
      </w:r>
      <w:r>
        <w:br/>
      </w:r>
      <w:r w:rsidRPr="161004A4" w:rsidR="67E22468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o </w:t>
      </w:r>
      <w:r w:rsidRPr="161004A4" w:rsidR="67E2246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Inventory of </w:t>
      </w:r>
      <w:r w:rsidRPr="161004A4" w:rsidR="67E22468">
        <w:rPr>
          <w:rFonts w:ascii="Aptos" w:hAnsi="Aptos" w:eastAsia="Aptos" w:cs="Aptos"/>
          <w:b w:val="1"/>
          <w:bCs w:val="1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municipally owned properties </w:t>
      </w:r>
      <w:r w:rsidRPr="161004A4" w:rsidR="67E2246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  <w:t>and exploring tools or</w:t>
      </w:r>
      <w:r>
        <w:br/>
      </w:r>
      <w:r w:rsidRPr="161004A4" w:rsidR="67E2246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  <w:t>strategies the Town might employ to use these existing resources to</w:t>
      </w:r>
      <w:r>
        <w:br/>
      </w:r>
      <w:r w:rsidRPr="161004A4" w:rsidR="67E2246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  <w:t>increase the availability of workforce housing.</w:t>
      </w:r>
      <w:r>
        <w:br/>
      </w:r>
      <w:r w:rsidRPr="161004A4" w:rsidR="67E22468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o </w:t>
      </w:r>
      <w:r w:rsidRPr="161004A4" w:rsidR="67E2246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Looking into </w:t>
      </w:r>
      <w:r w:rsidRPr="161004A4" w:rsidR="67E22468">
        <w:rPr>
          <w:rFonts w:ascii="Aptos" w:hAnsi="Aptos" w:eastAsia="Aptos" w:cs="Aptos"/>
          <w:b w:val="1"/>
          <w:bCs w:val="1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non-regulatory initiatives </w:t>
      </w:r>
      <w:r w:rsidRPr="161004A4" w:rsidR="67E2246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  <w:t>that could encourage the creation</w:t>
      </w:r>
      <w:r>
        <w:br/>
      </w:r>
      <w:r w:rsidRPr="161004A4" w:rsidR="67E2246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  <w:t>of new housing opportunities.</w:t>
      </w:r>
      <w:r>
        <w:br/>
      </w:r>
      <w:r w:rsidRPr="161004A4" w:rsidR="67E2246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  <w:t>Deliverables: Inventory; recommendations.</w:t>
      </w:r>
      <w:r>
        <w:br/>
      </w:r>
      <w:r w:rsidRPr="161004A4" w:rsidR="67E2246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  <w:t>March – April</w:t>
      </w:r>
      <w:r>
        <w:br/>
      </w:r>
      <w:r w:rsidRPr="161004A4" w:rsidR="67E22468">
        <w:rPr>
          <w:rFonts w:ascii="Aptos" w:hAnsi="Aptos" w:eastAsia="Aptos" w:cs="Aptos"/>
          <w:b w:val="1"/>
          <w:bCs w:val="1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  <w:t>Housing forum/open house</w:t>
      </w:r>
      <w:r>
        <w:br/>
      </w:r>
      <w:r w:rsidRPr="161004A4" w:rsidR="67E22468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o </w:t>
      </w:r>
      <w:r w:rsidRPr="161004A4" w:rsidR="67E2246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  <w:t>June-Aug. 2025</w:t>
      </w:r>
      <w:r>
        <w:br/>
      </w:r>
      <w:r w:rsidRPr="161004A4" w:rsidR="67E22468">
        <w:rPr>
          <w:rFonts w:ascii="Aptos" w:hAnsi="Aptos" w:eastAsia="Aptos" w:cs="Aptos"/>
          <w:b w:val="1"/>
          <w:bCs w:val="1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Develop revised ordinances </w:t>
      </w:r>
      <w:r w:rsidRPr="161004A4" w:rsidR="67E2246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  <w:t>and supporting materials</w:t>
      </w:r>
      <w:r>
        <w:br/>
      </w:r>
      <w:r w:rsidRPr="161004A4" w:rsidR="67E22468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o </w:t>
      </w:r>
      <w:r w:rsidRPr="161004A4" w:rsidR="67E2246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  <w:t>Sept.-Oct. 2025</w:t>
      </w:r>
      <w:r>
        <w:br/>
      </w:r>
      <w:r w:rsidRPr="161004A4" w:rsidR="67E22468">
        <w:rPr>
          <w:rFonts w:ascii="Aptos" w:hAnsi="Aptos" w:eastAsia="Aptos" w:cs="Aptos"/>
          <w:b w:val="1"/>
          <w:bCs w:val="1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Public hearing(s) </w:t>
      </w:r>
      <w:r w:rsidRPr="161004A4" w:rsidR="67E2246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  <w:t>and informal meetings</w:t>
      </w:r>
      <w:r>
        <w:br/>
      </w:r>
      <w:r w:rsidRPr="161004A4" w:rsidR="67E22468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o </w:t>
      </w:r>
      <w:r w:rsidRPr="161004A4" w:rsidR="67E2246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  <w:t>Nov.-Jan. 2025</w:t>
      </w:r>
      <w:r>
        <w:br/>
      </w:r>
      <w:r w:rsidRPr="161004A4" w:rsidR="67E22468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Mee</w:t>
      </w:r>
      <w:r w:rsidRPr="161004A4" w:rsidR="1BF6194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ti</w:t>
      </w:r>
      <w:r w:rsidRPr="161004A4" w:rsidR="67E22468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ng Schedule:</w:t>
      </w:r>
      <w:r>
        <w:br/>
      </w:r>
      <w:r w:rsidRPr="161004A4" w:rsidR="67E2246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  <w:t>Monthly meetings with the Town to field questions and collect feedback.</w:t>
      </w:r>
    </w:p>
    <w:p xmlns:wp14="http://schemas.microsoft.com/office/word/2010/wordml" w:rsidP="161004A4" wp14:paraId="7A70A1B7" wp14:textId="51299913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</w:pPr>
    </w:p>
    <w:p xmlns:wp14="http://schemas.microsoft.com/office/word/2010/wordml" w:rsidP="161004A4" wp14:paraId="1C22EDFB" wp14:textId="4D660AA4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1004A4" w:rsidR="63BD1B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K Aldred clearly </w:t>
      </w:r>
      <w:r w:rsidRPr="161004A4" w:rsidR="63BD1B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states</w:t>
      </w:r>
      <w:r w:rsidRPr="161004A4" w:rsidR="63BD1B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61004A4" w:rsidR="202C8EA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“We can take </w:t>
      </w:r>
      <w:r w:rsidRPr="161004A4" w:rsidR="7E0CEFE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161004A4" w:rsidR="202C8EA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ransfer </w:t>
      </w:r>
      <w:r w:rsidRPr="161004A4" w:rsidR="3444D14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of Development Rights (TDR)</w:t>
      </w:r>
      <w:r w:rsidRPr="161004A4" w:rsidR="202C8EA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61004A4" w:rsidR="202C8EA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off the list</w:t>
      </w:r>
      <w:r w:rsidRPr="161004A4" w:rsidR="139DD3FC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”</w:t>
      </w:r>
    </w:p>
    <w:p xmlns:wp14="http://schemas.microsoft.com/office/word/2010/wordml" w:rsidP="161004A4" wp14:paraId="41C99B22" wp14:textId="415EEE6F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61004A4" wp14:paraId="53577F98" wp14:textId="2F96E86F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1004A4" w:rsidR="6889AD9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Board </w:t>
      </w:r>
      <w:r w:rsidRPr="161004A4" w:rsidR="16F67A1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reviewed</w:t>
      </w:r>
      <w:r w:rsidRPr="161004A4" w:rsidR="287FF2F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61004A4" w:rsidR="287FF2F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newly </w:t>
      </w:r>
      <w:r w:rsidRPr="161004A4" w:rsidR="5862D6C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released edited version</w:t>
      </w:r>
      <w:r w:rsidRPr="161004A4" w:rsidR="302D911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by </w:t>
      </w:r>
      <w:r w:rsidRPr="161004A4" w:rsidR="302D911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Mr. Greenwood</w:t>
      </w:r>
      <w:r w:rsidRPr="161004A4" w:rsidR="5862D6C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the Housing Master Plan Chapter. The Board will </w:t>
      </w:r>
      <w:r w:rsidRPr="161004A4" w:rsidR="0BA8EF2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further </w:t>
      </w:r>
      <w:r w:rsidRPr="161004A4" w:rsidR="5862D6C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review the do</w:t>
      </w:r>
      <w:r w:rsidRPr="161004A4" w:rsidR="35CD4B9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cument</w:t>
      </w:r>
      <w:r w:rsidRPr="161004A4" w:rsidR="0A6792B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. It will be</w:t>
      </w:r>
      <w:r w:rsidRPr="161004A4" w:rsidR="0FC336B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properly</w:t>
      </w:r>
      <w:r w:rsidRPr="161004A4" w:rsidR="0A6792B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noticed for adoption at the next meeting </w:t>
      </w:r>
      <w:r w:rsidRPr="161004A4" w:rsidR="11097CF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scheduled for 2/6/25. </w:t>
      </w:r>
    </w:p>
    <w:p xmlns:wp14="http://schemas.microsoft.com/office/word/2010/wordml" w:rsidP="161004A4" wp14:paraId="0972F78C" wp14:textId="6651CFA5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61004A4" wp14:paraId="5DA88B6F" wp14:textId="3C82E85D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1004A4" w:rsidR="00A017AC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Motion D Marino, for B West to be a voting </w:t>
      </w:r>
      <w:r w:rsidRPr="161004A4" w:rsidR="26EB492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member. Second D Finan, roll call vote, motion passes all in favor</w:t>
      </w:r>
      <w:r w:rsidRPr="161004A4" w:rsidR="085C849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xmlns:wp14="http://schemas.microsoft.com/office/word/2010/wordml" w:rsidP="161004A4" wp14:paraId="1F045111" wp14:textId="73617945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61004A4" wp14:paraId="501E8754" wp14:textId="0B33FCE3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1004A4" w:rsidR="03E6401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Board reviewed and discussed the </w:t>
      </w:r>
      <w:r w:rsidRPr="161004A4" w:rsidR="5AA5D52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warrant</w:t>
      </w:r>
      <w:r w:rsidRPr="161004A4" w:rsidR="03E6401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61004A4" w:rsidR="7A823F4C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article</w:t>
      </w:r>
      <w:r w:rsidRPr="161004A4" w:rsidR="03E6401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</w:t>
      </w:r>
      <w:r w:rsidRPr="161004A4" w:rsidR="33CDC3B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go before the voters at</w:t>
      </w:r>
      <w:r w:rsidRPr="161004A4" w:rsidR="38D5F17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</w:t>
      </w:r>
      <w:r w:rsidRPr="161004A4" w:rsidR="75CE9DD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2025 Town</w:t>
      </w:r>
      <w:r w:rsidRPr="161004A4" w:rsidR="33CDC3B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61004A4" w:rsidR="7479DF4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M</w:t>
      </w:r>
      <w:r w:rsidRPr="161004A4" w:rsidR="33CDC3B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eeting. </w:t>
      </w:r>
      <w:r w:rsidRPr="161004A4" w:rsidR="139A0C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It will read as follows:</w:t>
      </w:r>
    </w:p>
    <w:p xmlns:wp14="http://schemas.microsoft.com/office/word/2010/wordml" w:rsidP="161004A4" wp14:paraId="4480CFCA" wp14:textId="6E5A58A9">
      <w:pPr>
        <w:shd w:val="clear" w:color="auto" w:fill="FFFFFF" w:themeFill="background1"/>
        <w:spacing w:before="0" w:beforeAutospacing="off" w:after="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161004A4" w:rsidR="139A0CB4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To see if the Town will vote to establish a Master Plan Capital Reserve Fund under the provisions of RSA 35;1 for the updating of the Town of Brentwood’s Master Plan and to raise and appropriate the sum of Eighty-Five Hundred Dollars ($8,500) to be placed in this fund from the unreserved fund balance. Further, name the Brentwood Planning Board as agents to expend from said fund. No amount to be raised from taxation. </w:t>
      </w:r>
    </w:p>
    <w:p xmlns:wp14="http://schemas.microsoft.com/office/word/2010/wordml" w:rsidP="161004A4" wp14:paraId="16999D2E" wp14:textId="3669DEB3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61004A4" wp14:paraId="6C18A7AA" wp14:textId="188F6B78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1004A4" w:rsidR="085C849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Motion D Marino, to approve </w:t>
      </w:r>
      <w:r w:rsidRPr="161004A4" w:rsidR="36D3B86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12/19/24 minutes. </w:t>
      </w:r>
      <w:r w:rsidRPr="161004A4" w:rsidR="4FB6A5B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Second B West, roll call vote, motion passes all in favor. </w:t>
      </w:r>
    </w:p>
    <w:p xmlns:wp14="http://schemas.microsoft.com/office/word/2010/wordml" w:rsidP="161004A4" wp14:paraId="3CA59ADF" wp14:textId="53741597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1004A4" w:rsidR="785E110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Motion D Marino, to adjourn at 8:41 pm, seconded by D Fin</w:t>
      </w:r>
      <w:r w:rsidRPr="161004A4" w:rsidR="2C2BB6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an. Roll call vote, motion passes all in favor. </w:t>
      </w:r>
    </w:p>
    <w:p xmlns:wp14="http://schemas.microsoft.com/office/word/2010/wordml" w:rsidP="161004A4" wp14:paraId="27C8DA1B" wp14:textId="3571A1D2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1004A4" w:rsidR="2C2BB6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Respectfully summitted, </w:t>
      </w:r>
    </w:p>
    <w:p xmlns:wp14="http://schemas.microsoft.com/office/word/2010/wordml" w:rsidP="161004A4" wp14:paraId="10E711D6" wp14:textId="6F6297F4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1004A4" w:rsidR="2C2BB6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Mark Kennedy</w:t>
      </w:r>
    </w:p>
    <w:p xmlns:wp14="http://schemas.microsoft.com/office/word/2010/wordml" w:rsidP="161004A4" wp14:paraId="42E384B9" wp14:textId="05368955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1004A4" w:rsidR="2C2BB6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Land Use Administrator </w:t>
      </w:r>
    </w:p>
    <w:p xmlns:wp14="http://schemas.microsoft.com/office/word/2010/wordml" w:rsidP="161004A4" wp14:paraId="0DC9C749" wp14:textId="262F9543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1004A4" w:rsidR="2C2BB68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Brentwood NH </w:t>
      </w:r>
    </w:p>
    <w:p xmlns:wp14="http://schemas.microsoft.com/office/word/2010/wordml" w:rsidP="161004A4" wp14:paraId="5C64E83F" wp14:textId="13288353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61004A4" wp14:paraId="4CC8709E" wp14:textId="1526C8A9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61004A4" wp14:paraId="08EF33CD" wp14:textId="7A0CD127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61004A4" wp14:paraId="000BDDC6" wp14:textId="681A9E2E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1004A4" w:rsidR="67E22468">
        <w:rPr>
          <w:rFonts w:ascii="Calibri" w:hAnsi="Calibri" w:eastAsia="Calibri" w:cs="Calibri"/>
          <w:noProof w:val="0"/>
          <w:sz w:val="26"/>
          <w:szCs w:val="26"/>
          <w:lang w:val="en-US"/>
        </w:rPr>
        <w:t xml:space="preserve"> </w:t>
      </w:r>
      <w:r>
        <w:br/>
      </w:r>
      <w:r>
        <w:br/>
      </w:r>
    </w:p>
    <w:p xmlns:wp14="http://schemas.microsoft.com/office/word/2010/wordml" wp14:paraId="2C078E63" wp14:textId="4CE4D553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E4580F"/>
    <w:rsid w:val="00A017AC"/>
    <w:rsid w:val="014B3B0B"/>
    <w:rsid w:val="019F3A8F"/>
    <w:rsid w:val="01BBEB77"/>
    <w:rsid w:val="03267B6E"/>
    <w:rsid w:val="03E64019"/>
    <w:rsid w:val="064E1CDD"/>
    <w:rsid w:val="085C8495"/>
    <w:rsid w:val="08D0A321"/>
    <w:rsid w:val="098C23EF"/>
    <w:rsid w:val="0A6792BE"/>
    <w:rsid w:val="0ACAD727"/>
    <w:rsid w:val="0BA8EF29"/>
    <w:rsid w:val="0C1358EB"/>
    <w:rsid w:val="0EE563E8"/>
    <w:rsid w:val="0F583E3F"/>
    <w:rsid w:val="0FB4860B"/>
    <w:rsid w:val="0FC336B2"/>
    <w:rsid w:val="106265F6"/>
    <w:rsid w:val="11097CF1"/>
    <w:rsid w:val="12B24A84"/>
    <w:rsid w:val="12E4580F"/>
    <w:rsid w:val="1310D769"/>
    <w:rsid w:val="139A0CB4"/>
    <w:rsid w:val="139DD3FC"/>
    <w:rsid w:val="161004A4"/>
    <w:rsid w:val="16F67A16"/>
    <w:rsid w:val="1940F2E1"/>
    <w:rsid w:val="19A2E64C"/>
    <w:rsid w:val="1A42A6F3"/>
    <w:rsid w:val="1BB0AFF9"/>
    <w:rsid w:val="1BF6194A"/>
    <w:rsid w:val="1C593AB9"/>
    <w:rsid w:val="202C8EA9"/>
    <w:rsid w:val="21A8DD28"/>
    <w:rsid w:val="222D8A59"/>
    <w:rsid w:val="24662A67"/>
    <w:rsid w:val="255286BC"/>
    <w:rsid w:val="26EB4927"/>
    <w:rsid w:val="287B4B6D"/>
    <w:rsid w:val="287FF2FD"/>
    <w:rsid w:val="2A35DF0D"/>
    <w:rsid w:val="2B75BCEA"/>
    <w:rsid w:val="2BAA8652"/>
    <w:rsid w:val="2C2BB689"/>
    <w:rsid w:val="2D45A556"/>
    <w:rsid w:val="2E6D372C"/>
    <w:rsid w:val="2F690045"/>
    <w:rsid w:val="302D911D"/>
    <w:rsid w:val="3078AF6A"/>
    <w:rsid w:val="3319BBCD"/>
    <w:rsid w:val="33A4F4DF"/>
    <w:rsid w:val="33CDC3B7"/>
    <w:rsid w:val="3444D143"/>
    <w:rsid w:val="3525BF4A"/>
    <w:rsid w:val="35CD4B9F"/>
    <w:rsid w:val="36D3B86D"/>
    <w:rsid w:val="38D5F17F"/>
    <w:rsid w:val="3A6DBEAC"/>
    <w:rsid w:val="3B0C0397"/>
    <w:rsid w:val="3BA32FED"/>
    <w:rsid w:val="3BBC7C88"/>
    <w:rsid w:val="3C050733"/>
    <w:rsid w:val="3C1DE03C"/>
    <w:rsid w:val="3C9738E2"/>
    <w:rsid w:val="3DC8B4F1"/>
    <w:rsid w:val="3E59BF5E"/>
    <w:rsid w:val="3F56497B"/>
    <w:rsid w:val="3F8475C3"/>
    <w:rsid w:val="40BAB0C6"/>
    <w:rsid w:val="41BA7B2E"/>
    <w:rsid w:val="424FBE5D"/>
    <w:rsid w:val="43519AD6"/>
    <w:rsid w:val="43C3846D"/>
    <w:rsid w:val="4546B29B"/>
    <w:rsid w:val="48011441"/>
    <w:rsid w:val="494A3C43"/>
    <w:rsid w:val="4A36E13F"/>
    <w:rsid w:val="4A58AECD"/>
    <w:rsid w:val="4B26C35A"/>
    <w:rsid w:val="4C0755C6"/>
    <w:rsid w:val="4D092221"/>
    <w:rsid w:val="4D738FFA"/>
    <w:rsid w:val="4E0D4761"/>
    <w:rsid w:val="4E86C304"/>
    <w:rsid w:val="4F1F27FB"/>
    <w:rsid w:val="4FAF4A33"/>
    <w:rsid w:val="4FB6A5BF"/>
    <w:rsid w:val="50F34B9A"/>
    <w:rsid w:val="53F1B611"/>
    <w:rsid w:val="55E5B2F2"/>
    <w:rsid w:val="56AA3FE2"/>
    <w:rsid w:val="57907DC1"/>
    <w:rsid w:val="5862D6C8"/>
    <w:rsid w:val="586EEF67"/>
    <w:rsid w:val="58F20986"/>
    <w:rsid w:val="5A0900DA"/>
    <w:rsid w:val="5A78BDDD"/>
    <w:rsid w:val="5AA5D529"/>
    <w:rsid w:val="5AB06A6B"/>
    <w:rsid w:val="5D2B10CD"/>
    <w:rsid w:val="5D579246"/>
    <w:rsid w:val="5F6E68DE"/>
    <w:rsid w:val="5FD805F1"/>
    <w:rsid w:val="5FF1CBF7"/>
    <w:rsid w:val="60514039"/>
    <w:rsid w:val="6350BE53"/>
    <w:rsid w:val="63BD1B9B"/>
    <w:rsid w:val="6458C880"/>
    <w:rsid w:val="6616DCC9"/>
    <w:rsid w:val="6793F29E"/>
    <w:rsid w:val="67989D1D"/>
    <w:rsid w:val="67E22468"/>
    <w:rsid w:val="6889AD99"/>
    <w:rsid w:val="6925E882"/>
    <w:rsid w:val="6BA73D26"/>
    <w:rsid w:val="6BEF4A13"/>
    <w:rsid w:val="6D286682"/>
    <w:rsid w:val="6DC679A2"/>
    <w:rsid w:val="6E19341C"/>
    <w:rsid w:val="6E237661"/>
    <w:rsid w:val="6EF9DC9D"/>
    <w:rsid w:val="6EFCFFE9"/>
    <w:rsid w:val="6F7F65A9"/>
    <w:rsid w:val="6FB7CE63"/>
    <w:rsid w:val="72CEAACF"/>
    <w:rsid w:val="7479DF4E"/>
    <w:rsid w:val="758A0347"/>
    <w:rsid w:val="75CE9DDE"/>
    <w:rsid w:val="762E1C50"/>
    <w:rsid w:val="779881CF"/>
    <w:rsid w:val="785E1100"/>
    <w:rsid w:val="78D2FFFE"/>
    <w:rsid w:val="79DD8A13"/>
    <w:rsid w:val="7A823F4C"/>
    <w:rsid w:val="7C294154"/>
    <w:rsid w:val="7CF4D285"/>
    <w:rsid w:val="7D2AEBD9"/>
    <w:rsid w:val="7E004F45"/>
    <w:rsid w:val="7E0CEFE8"/>
    <w:rsid w:val="7EEC9039"/>
    <w:rsid w:val="7F1B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4580F"/>
  <w15:chartTrackingRefBased/>
  <w15:docId w15:val="{B2B71055-2BC4-4AC8-B584-F74FEFD74B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161004A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mkennedy@brentwoodnh.gov" TargetMode="External" Id="R09bdbdde5a8f428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2025-01-17T14:18:44.0108990Z</dcterms:created>
  <dcterms:modified xsi:type="dcterms:W3CDTF">2025-01-17T20:30:21.2677270Z</dcterms:modified>
  <dc:creator>Mark Kennedy</dc:creator>
  <lastModifiedBy>Mark Kennedy</lastModifiedBy>
</coreProperties>
</file>